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6055D">
      <w:pPr>
        <w:pStyle w:val="8"/>
        <w:rPr>
          <w:rFonts w:ascii="仿宋" w:hAnsi="仿宋" w:eastAsia="仿宋" w:cs="仿宋"/>
          <w:color w:val="auto"/>
          <w:sz w:val="20"/>
          <w:highlight w:val="none"/>
        </w:rPr>
      </w:pPr>
      <w:bookmarkStart w:id="0" w:name="_Toc144974478"/>
      <w:bookmarkStart w:id="1" w:name="_Toc152042286"/>
    </w:p>
    <w:p w14:paraId="2413D0ED">
      <w:pPr>
        <w:pStyle w:val="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color w:val="auto"/>
          <w:sz w:val="48"/>
          <w:szCs w:val="48"/>
          <w:highlight w:val="none"/>
          <w:lang w:val="en-US" w:eastAsia="zh-CN"/>
        </w:rPr>
      </w:pPr>
      <w:r>
        <w:rPr>
          <w:rFonts w:hint="eastAsia" w:ascii="黑体" w:hAnsi="黑体" w:eastAsia="黑体" w:cs="黑体"/>
          <w:color w:val="auto"/>
          <w:sz w:val="48"/>
          <w:szCs w:val="48"/>
          <w:highlight w:val="none"/>
          <w:lang w:val="en-US" w:eastAsia="zh-CN"/>
        </w:rPr>
        <w:t>嵩县农业农村局2025年</w:t>
      </w:r>
    </w:p>
    <w:p w14:paraId="5062BA27">
      <w:pPr>
        <w:pStyle w:val="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color w:val="auto"/>
          <w:sz w:val="48"/>
          <w:szCs w:val="48"/>
          <w:highlight w:val="none"/>
          <w:lang w:val="en-US" w:eastAsia="zh-CN"/>
        </w:rPr>
      </w:pPr>
      <w:r>
        <w:rPr>
          <w:rFonts w:hint="eastAsia" w:ascii="黑体" w:hAnsi="黑体" w:eastAsia="黑体" w:cs="黑体"/>
          <w:color w:val="auto"/>
          <w:sz w:val="48"/>
          <w:szCs w:val="48"/>
          <w:highlight w:val="none"/>
          <w:lang w:val="en-US" w:eastAsia="zh-CN"/>
        </w:rPr>
        <w:t>嵩县大坪乡0.5万亩高标准农田建设项目</w:t>
      </w:r>
    </w:p>
    <w:p w14:paraId="2A557407">
      <w:pPr>
        <w:pStyle w:val="8"/>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48"/>
          <w:szCs w:val="48"/>
          <w:highlight w:val="none"/>
        </w:rPr>
      </w:pPr>
      <w:r>
        <w:rPr>
          <w:rFonts w:hint="eastAsia" w:ascii="黑体" w:hAnsi="黑体" w:eastAsia="黑体" w:cs="黑体"/>
          <w:color w:val="auto"/>
          <w:sz w:val="32"/>
          <w:szCs w:val="32"/>
          <w:highlight w:val="none"/>
          <w:lang w:val="en-US" w:eastAsia="zh-CN"/>
        </w:rPr>
        <w:t>（项目代码：2505-410325-04-01-816946）</w:t>
      </w:r>
      <w:bookmarkStart w:id="655" w:name="_GoBack"/>
      <w:bookmarkEnd w:id="655"/>
    </w:p>
    <w:p w14:paraId="43989944">
      <w:pPr>
        <w:rPr>
          <w:rFonts w:ascii="Times New Roman" w:hAnsi="Times New Roman" w:eastAsia="宋体" w:cs="Times New Roman"/>
          <w:color w:val="auto"/>
          <w:highlight w:val="none"/>
        </w:rPr>
      </w:pPr>
    </w:p>
    <w:p w14:paraId="5EBB423B">
      <w:pPr>
        <w:spacing w:before="168"/>
        <w:ind w:right="299"/>
        <w:jc w:val="center"/>
        <w:rPr>
          <w:rFonts w:hint="eastAsia" w:ascii="黑体" w:hAnsi="黑体" w:eastAsia="黑体" w:cs="宋体"/>
          <w:b/>
          <w:bCs/>
          <w:color w:val="auto"/>
          <w:sz w:val="96"/>
          <w:szCs w:val="40"/>
          <w:highlight w:val="none"/>
          <w:lang w:val="en-US" w:eastAsia="zh-CN"/>
        </w:rPr>
      </w:pPr>
      <w:r>
        <w:rPr>
          <w:rFonts w:hint="eastAsia" w:ascii="黑体" w:hAnsi="黑体" w:eastAsia="黑体" w:cs="宋体"/>
          <w:b/>
          <w:bCs/>
          <w:color w:val="auto"/>
          <w:sz w:val="84"/>
          <w:szCs w:val="84"/>
          <w:highlight w:val="none"/>
        </w:rPr>
        <w:t>招 标 文 件</w:t>
      </w:r>
    </w:p>
    <w:p w14:paraId="4BF8A9F9">
      <w:pPr>
        <w:spacing w:line="360" w:lineRule="auto"/>
        <w:jc w:val="center"/>
        <w:rPr>
          <w:rFonts w:hint="eastAsia" w:ascii="宋体" w:hAnsi="宋体" w:eastAsia="宋体" w:cs="宋体"/>
          <w:b/>
          <w:bCs/>
          <w:color w:val="auto"/>
          <w:sz w:val="28"/>
          <w:szCs w:val="28"/>
          <w:highlight w:val="none"/>
          <w:lang w:val="en-US" w:eastAsia="zh-CN"/>
        </w:rPr>
      </w:pPr>
    </w:p>
    <w:p w14:paraId="0F67BE5C">
      <w:pPr>
        <w:pStyle w:val="9"/>
        <w:jc w:val="center"/>
        <w:rPr>
          <w:rFonts w:hint="eastAsia" w:hAnsi="宋体" w:cs="宋体"/>
          <w:b/>
          <w:bCs/>
          <w:color w:val="auto"/>
          <w:sz w:val="28"/>
          <w:szCs w:val="28"/>
          <w:highlight w:val="none"/>
          <w:lang w:val="en-US" w:eastAsia="zh-CN"/>
        </w:rPr>
      </w:pPr>
      <w:r>
        <w:rPr>
          <w:rFonts w:hint="eastAsia" w:hAnsi="宋体" w:cs="宋体"/>
          <w:b/>
          <w:bCs/>
          <w:color w:val="auto"/>
          <w:sz w:val="28"/>
          <w:szCs w:val="28"/>
          <w:highlight w:val="none"/>
          <w:lang w:val="en-US" w:eastAsia="zh-CN"/>
        </w:rPr>
        <w:t>招标编号：嵩县工施招标(2025)0038号</w:t>
      </w:r>
    </w:p>
    <w:p w14:paraId="3E3FF2E7">
      <w:pPr>
        <w:pStyle w:val="9"/>
        <w:jc w:val="center"/>
        <w:rPr>
          <w:rFonts w:hint="default"/>
          <w:lang w:val="en-US" w:eastAsia="zh-CN"/>
        </w:rPr>
      </w:pPr>
      <w:r>
        <w:rPr>
          <w:rFonts w:hint="eastAsia" w:hAnsi="宋体" w:cs="宋体"/>
          <w:b/>
          <w:bCs/>
          <w:color w:val="auto"/>
          <w:sz w:val="28"/>
          <w:szCs w:val="28"/>
          <w:highlight w:val="none"/>
          <w:lang w:val="en-US" w:eastAsia="zh-CN"/>
        </w:rPr>
        <w:t>政府采购管理部门备案编号:嵩政采公开-2025-72</w:t>
      </w:r>
    </w:p>
    <w:p w14:paraId="03930365">
      <w:pPr>
        <w:rPr>
          <w:rFonts w:ascii="Times New Roman" w:hAnsi="Times New Roman" w:eastAsia="宋体" w:cs="Times New Roman"/>
          <w:color w:val="auto"/>
          <w:highlight w:val="none"/>
        </w:rPr>
      </w:pPr>
    </w:p>
    <w:p w14:paraId="0BD6C535">
      <w:pPr>
        <w:pStyle w:val="8"/>
        <w:rPr>
          <w:rFonts w:hint="eastAsia" w:ascii="宋体" w:hAnsi="宋体" w:eastAsia="宋体" w:cs="宋体"/>
          <w:color w:val="auto"/>
          <w:sz w:val="44"/>
          <w:highlight w:val="none"/>
        </w:rPr>
      </w:pPr>
      <w:r>
        <w:rPr>
          <w:rFonts w:hint="eastAsia" w:ascii="黑体" w:hAnsi="黑体" w:eastAsia="黑体" w:cs="黑体"/>
          <w:color w:val="auto"/>
          <w:sz w:val="32"/>
          <w:szCs w:val="32"/>
          <w:highlight w:val="none"/>
        </w:rPr>
        <w:drawing>
          <wp:anchor distT="0" distB="0" distL="114300" distR="114300" simplePos="0" relativeHeight="251660288" behindDoc="0" locked="0" layoutInCell="1" allowOverlap="1">
            <wp:simplePos x="0" y="0"/>
            <wp:positionH relativeFrom="page">
              <wp:posOffset>2476500</wp:posOffset>
            </wp:positionH>
            <wp:positionV relativeFrom="paragraph">
              <wp:posOffset>22225</wp:posOffset>
            </wp:positionV>
            <wp:extent cx="2466975" cy="2439670"/>
            <wp:effectExtent l="0" t="0" r="9525"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6"/>
                    <a:stretch>
                      <a:fillRect/>
                    </a:stretch>
                  </pic:blipFill>
                  <pic:spPr>
                    <a:xfrm>
                      <a:off x="0" y="0"/>
                      <a:ext cx="2466975" cy="2439670"/>
                    </a:xfrm>
                    <a:prstGeom prst="rect">
                      <a:avLst/>
                    </a:prstGeom>
                    <a:noFill/>
                    <a:ln>
                      <a:noFill/>
                    </a:ln>
                  </pic:spPr>
                </pic:pic>
              </a:graphicData>
            </a:graphic>
          </wp:anchor>
        </w:drawing>
      </w:r>
    </w:p>
    <w:p w14:paraId="2333ACB7">
      <w:pPr>
        <w:tabs>
          <w:tab w:val="left" w:pos="2590"/>
        </w:tabs>
        <w:spacing w:line="360" w:lineRule="auto"/>
        <w:ind w:right="294"/>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招   标   人：</w:t>
      </w:r>
      <w:r>
        <w:rPr>
          <w:rFonts w:hint="eastAsia" w:ascii="宋体" w:hAnsi="宋体" w:cs="宋体"/>
          <w:b/>
          <w:bCs/>
          <w:color w:val="auto"/>
          <w:sz w:val="28"/>
          <w:szCs w:val="28"/>
          <w:highlight w:val="none"/>
          <w:lang w:val="en-US" w:eastAsia="zh-CN"/>
        </w:rPr>
        <w:t>嵩县农业农村局</w:t>
      </w:r>
    </w:p>
    <w:p w14:paraId="132C547B">
      <w:pPr>
        <w:tabs>
          <w:tab w:val="left" w:pos="2590"/>
        </w:tabs>
        <w:spacing w:line="360" w:lineRule="auto"/>
        <w:ind w:right="294"/>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招标代理机构：东虹建设工程招标代理有限公司</w:t>
      </w:r>
    </w:p>
    <w:p w14:paraId="3F8022CB">
      <w:pPr>
        <w:tabs>
          <w:tab w:val="left" w:pos="2590"/>
        </w:tabs>
        <w:spacing w:line="360" w:lineRule="auto"/>
        <w:ind w:right="294"/>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时        间：二Ｏ二</w:t>
      </w:r>
      <w:r>
        <w:rPr>
          <w:rFonts w:hint="eastAsia" w:ascii="宋体" w:hAnsi="宋体" w:eastAsia="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年</w:t>
      </w:r>
      <w:r>
        <w:rPr>
          <w:rFonts w:hint="eastAsia" w:ascii="宋体" w:hAnsi="宋体" w:cs="宋体"/>
          <w:b/>
          <w:bCs/>
          <w:color w:val="auto"/>
          <w:sz w:val="28"/>
          <w:szCs w:val="28"/>
          <w:highlight w:val="none"/>
          <w:lang w:val="en-US" w:eastAsia="zh-CN"/>
        </w:rPr>
        <w:t>八</w:t>
      </w:r>
      <w:r>
        <w:rPr>
          <w:rFonts w:hint="eastAsia" w:ascii="宋体" w:hAnsi="宋体" w:eastAsia="宋体" w:cs="宋体"/>
          <w:b/>
          <w:bCs/>
          <w:color w:val="auto"/>
          <w:sz w:val="28"/>
          <w:szCs w:val="28"/>
          <w:highlight w:val="none"/>
        </w:rPr>
        <w:t>月</w:t>
      </w:r>
    </w:p>
    <w:p w14:paraId="0B9E2B13">
      <w:pPr>
        <w:pStyle w:val="32"/>
        <w:spacing w:line="440" w:lineRule="exact"/>
        <w:ind w:left="0" w:leftChars="0" w:firstLine="0" w:firstLineChars="0"/>
        <w:jc w:val="center"/>
        <w:rPr>
          <w:rFonts w:hint="eastAsia" w:ascii="仿宋" w:hAnsi="仿宋" w:eastAsia="仿宋" w:cs="仿宋"/>
          <w:b/>
          <w:bCs/>
          <w:color w:val="auto"/>
          <w:sz w:val="28"/>
          <w:szCs w:val="28"/>
          <w:highlight w:val="none"/>
        </w:rPr>
        <w:sectPr>
          <w:headerReference r:id="rId5" w:type="first"/>
          <w:headerReference r:id="rId4" w:type="default"/>
          <w:pgSz w:w="11906" w:h="16838"/>
          <w:pgMar w:top="1440" w:right="1587" w:bottom="1440" w:left="1587" w:header="851" w:footer="992" w:gutter="0"/>
          <w:cols w:space="720" w:num="1"/>
          <w:titlePg/>
          <w:docGrid w:type="lines" w:linePitch="312" w:charSpace="0"/>
        </w:sectPr>
      </w:pPr>
    </w:p>
    <w:p w14:paraId="2C63990F">
      <w:pPr>
        <w:pStyle w:val="32"/>
        <w:spacing w:line="440" w:lineRule="exact"/>
        <w:ind w:left="0" w:leftChars="0" w:firstLine="0" w:firstLineChars="0"/>
        <w:jc w:val="center"/>
        <w:rPr>
          <w:rFonts w:hint="eastAsia" w:ascii="仿宋" w:hAnsi="仿宋" w:eastAsia="仿宋" w:cs="仿宋"/>
          <w:b/>
          <w:bCs/>
          <w:color w:val="auto"/>
          <w:sz w:val="28"/>
          <w:szCs w:val="28"/>
          <w:highlight w:val="none"/>
        </w:rPr>
      </w:pPr>
    </w:p>
    <w:p w14:paraId="59E1880D">
      <w:pPr>
        <w:pStyle w:val="32"/>
        <w:spacing w:line="440" w:lineRule="exact"/>
        <w:ind w:left="0" w:leftChars="0" w:firstLine="0" w:firstLineChars="0"/>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8"/>
          <w:highlight w:val="none"/>
        </w:rPr>
        <w:t>洛阳市公共资源交易中心关于电子交易平台新系统上线运行的通知</w:t>
      </w:r>
    </w:p>
    <w:p w14:paraId="1A79A03A">
      <w:pPr>
        <w:pStyle w:val="32"/>
        <w:spacing w:after="0" w:line="440" w:lineRule="exact"/>
        <w:ind w:left="0" w:leftChars="0" w:firstLine="0" w:firstLineChars="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各交易主体：</w:t>
      </w:r>
    </w:p>
    <w:p w14:paraId="39A16C49">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洛阳市公共资源电子交易平台新系统（以下简称“新系统”）于8月5日正式上线运行。现将有关事项通知如下：</w:t>
      </w:r>
    </w:p>
    <w:p w14:paraId="4376F8A5">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一、8月5日前已在老系统发布招标（采购）公告（变更公告）的项目，仍在老系统完成后续工作。新进场项目须在新系统进行操作，请招标人、代理机构在发布招标公告及招标文件时，将新系统的投标流程及要求予以明确，投标人须按照招标文件和新系统的操作要求完成投标。</w:t>
      </w:r>
    </w:p>
    <w:p w14:paraId="07FAFD4B">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二、新系统通过洛阳市公共资源交易中心网“飘窗”中的“新系统入口”登录，首次在新系统参与交易的招标人、代理机构、投标人需要在新系统（http://61.54.85.189/tpbidder）完成账号注册，完善基本信息后开展交易业务。投标单位投标期间如有信息变更，请在新老系统内同步调整，以免影响招投标活动。</w:t>
      </w:r>
    </w:p>
    <w:p w14:paraId="3EBEFFFC">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三、交易主体原CA数字证书（华测、深圳、北京、信安）均可在新系统继续使用。</w:t>
      </w:r>
    </w:p>
    <w:p w14:paraId="098EF5E1">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四、请各交易主体（招标人、投标人、代理机构、竞买人）从业人员认真阅读新系统的操作手册（详见网站【办事指南】-【办事流程】栏目-新交易平台使用手册）。</w:t>
      </w:r>
    </w:p>
    <w:p w14:paraId="14E3640A">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五、新系统试运行期间，如有问题请及时与我们联系。</w:t>
      </w:r>
    </w:p>
    <w:p w14:paraId="48313788">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中心信息科电话：0379-69921065/69921063</w:t>
      </w:r>
    </w:p>
    <w:p w14:paraId="7012A70A">
      <w:pPr>
        <w:pStyle w:val="32"/>
        <w:spacing w:after="0" w:line="440" w:lineRule="exact"/>
        <w:ind w:left="0" w:leftChars="0" w:firstLine="480"/>
        <w:jc w:val="lef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新点软件客服电话：400-998-0000</w:t>
      </w:r>
    </w:p>
    <w:p w14:paraId="3FF542DA">
      <w:pPr>
        <w:pStyle w:val="32"/>
        <w:spacing w:after="0" w:line="440" w:lineRule="exact"/>
        <w:ind w:left="0" w:leftChars="0" w:firstLine="480"/>
        <w:jc w:val="righ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洛阳市公共资源交易中心</w:t>
      </w:r>
    </w:p>
    <w:p w14:paraId="54AD5F6F">
      <w:pPr>
        <w:pStyle w:val="32"/>
        <w:spacing w:after="0" w:line="440" w:lineRule="exact"/>
        <w:ind w:left="0" w:leftChars="0" w:firstLine="480"/>
        <w:jc w:val="right"/>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2024年8月5日</w:t>
      </w:r>
    </w:p>
    <w:p w14:paraId="1BABBDB4"/>
    <w:p w14:paraId="545C862D">
      <w:pPr>
        <w:pStyle w:val="32"/>
        <w:spacing w:after="0" w:line="440" w:lineRule="exact"/>
        <w:ind w:left="0" w:leftChars="0" w:firstLine="480"/>
        <w:jc w:val="right"/>
        <w:rPr>
          <w:rFonts w:hint="eastAsia" w:ascii="仿宋" w:hAnsi="仿宋" w:eastAsia="仿宋" w:cs="仿宋"/>
          <w:snapToGrid w:val="0"/>
          <w:color w:val="auto"/>
          <w:kern w:val="0"/>
          <w:sz w:val="24"/>
          <w:highlight w:val="none"/>
        </w:rPr>
      </w:pPr>
    </w:p>
    <w:p w14:paraId="315A5DAB">
      <w:pPr>
        <w:spacing w:line="440" w:lineRule="exact"/>
        <w:rPr>
          <w:rFonts w:ascii="Times New Roman" w:hAnsi="Times New Roman" w:eastAsia="宋体" w:cs="Times New Roman"/>
          <w:color w:val="auto"/>
          <w:highlight w:val="none"/>
        </w:rPr>
      </w:pPr>
    </w:p>
    <w:p w14:paraId="26738B65">
      <w:pPr>
        <w:pStyle w:val="34"/>
        <w:widowControl/>
        <w:spacing w:line="440" w:lineRule="exact"/>
        <w:jc w:val="center"/>
        <w:rPr>
          <w:rFonts w:hint="eastAsia" w:ascii="仿宋" w:hAnsi="仿宋" w:eastAsia="仿宋" w:cs="仿宋"/>
          <w:b/>
          <w:color w:val="auto"/>
          <w:sz w:val="31"/>
          <w:szCs w:val="31"/>
          <w:highlight w:val="none"/>
          <w:lang w:bidi="ar"/>
        </w:rPr>
      </w:pPr>
      <w:bookmarkStart w:id="2" w:name="_Toc3904649"/>
      <w:bookmarkStart w:id="3" w:name="_Toc256000000"/>
      <w:r>
        <w:rPr>
          <w:rFonts w:hint="eastAsia" w:ascii="仿宋" w:hAnsi="仿宋" w:eastAsia="仿宋" w:cs="Times New Roman"/>
          <w:color w:val="auto"/>
          <w:szCs w:val="44"/>
          <w:highlight w:val="none"/>
        </w:rPr>
        <w:br w:type="page"/>
      </w:r>
      <w:r>
        <w:rPr>
          <w:rFonts w:hint="eastAsia" w:ascii="仿宋" w:hAnsi="仿宋" w:eastAsia="仿宋" w:cs="仿宋"/>
          <w:b/>
          <w:color w:val="auto"/>
          <w:sz w:val="31"/>
          <w:szCs w:val="31"/>
          <w:highlight w:val="none"/>
          <w:lang w:bidi="ar"/>
        </w:rPr>
        <w:t>特 别 提 示</w:t>
      </w:r>
    </w:p>
    <w:p w14:paraId="0D6C5AE0">
      <w:pPr>
        <w:pStyle w:val="34"/>
        <w:widowControl/>
        <w:spacing w:line="440" w:lineRule="exact"/>
        <w:rPr>
          <w:rFonts w:hint="eastAsia" w:ascii="仿宋" w:hAnsi="仿宋" w:eastAsia="仿宋" w:cs="仿宋"/>
          <w:bCs/>
          <w:color w:val="auto"/>
          <w:spacing w:val="14"/>
          <w:sz w:val="24"/>
          <w:szCs w:val="24"/>
          <w:highlight w:val="none"/>
        </w:rPr>
      </w:pPr>
      <w:r>
        <w:rPr>
          <w:rFonts w:hint="eastAsia" w:ascii="仿宋" w:hAnsi="仿宋" w:eastAsia="仿宋" w:cs="仿宋"/>
          <w:bCs/>
          <w:color w:val="auto"/>
          <w:spacing w:val="14"/>
          <w:sz w:val="24"/>
          <w:szCs w:val="24"/>
          <w:highlight w:val="none"/>
        </w:rPr>
        <w:t>1、投标文件的制作</w:t>
      </w:r>
    </w:p>
    <w:p w14:paraId="5682D138">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1.1投标人登录“洛阳市公共资源交易中心”网站，按要求下载“新点投标文件制作软件”。</w:t>
      </w:r>
    </w:p>
    <w:p w14:paraId="14D163A4">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投标人凭CA锁登录，并按网上提示自行下载招标文件。“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13DA0956">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1.3加密的电子投标文件为“洛阳市公共资源交易中心”网站提供的“新点投标文件制作软件”制作生成的加密版投标文件。未加密的电子投标文件应与加密的电子投标文件为同时生成的版本。</w:t>
      </w:r>
    </w:p>
    <w:p w14:paraId="687349A0">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1.4投标文件格式所要求包含的全部资料应全部制作在投标文件内，严格按照本项目投标文件所有格式如实填写（不涉及的内容除外），不应存在漏项或缺项，否则将存在投标被否决的风险。</w:t>
      </w:r>
    </w:p>
    <w:p w14:paraId="5145A42A">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1.5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性审查或符合性审查的将不予通过。</w:t>
      </w:r>
    </w:p>
    <w:p w14:paraId="06D3F414">
      <w:pPr>
        <w:pStyle w:val="34"/>
        <w:widowControl/>
        <w:spacing w:line="440" w:lineRule="exact"/>
        <w:rPr>
          <w:rFonts w:hint="eastAsia" w:ascii="仿宋" w:hAnsi="仿宋" w:eastAsia="仿宋" w:cs="仿宋"/>
          <w:bCs/>
          <w:color w:val="auto"/>
          <w:spacing w:val="14"/>
          <w:sz w:val="24"/>
          <w:szCs w:val="24"/>
          <w:highlight w:val="none"/>
        </w:rPr>
      </w:pPr>
      <w:r>
        <w:rPr>
          <w:rFonts w:hint="eastAsia" w:ascii="仿宋" w:hAnsi="仿宋" w:eastAsia="仿宋" w:cs="仿宋"/>
          <w:bCs/>
          <w:color w:val="auto"/>
          <w:spacing w:val="14"/>
          <w:sz w:val="24"/>
          <w:szCs w:val="24"/>
          <w:highlight w:val="none"/>
        </w:rPr>
        <w:t>2、投标文件的提交</w:t>
      </w:r>
    </w:p>
    <w:p w14:paraId="0D38E938">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2.1除电子投标文件外，不再接受任何纸质文件、资料等。</w:t>
      </w:r>
    </w:p>
    <w:p w14:paraId="595E9EB3">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投标人应在提交投标文件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提交投标文件截止时间前完成上传的，视为逾期送达，洛阳市电子招投标交易平台将拒绝接收。上传成功后将得到上传成功的确认。</w:t>
      </w:r>
    </w:p>
    <w:p w14:paraId="5E099BFE">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2.3投标人因洛阳市电子招投标交易平台问题无法上传电子投标文件时，请在工作时间与交易中心联系。</w:t>
      </w:r>
    </w:p>
    <w:p w14:paraId="17FE1B1F">
      <w:pPr>
        <w:pStyle w:val="34"/>
        <w:widowControl/>
        <w:spacing w:line="440" w:lineRule="exact"/>
        <w:rPr>
          <w:rFonts w:hint="eastAsia" w:ascii="仿宋" w:hAnsi="仿宋" w:eastAsia="仿宋" w:cs="仿宋"/>
          <w:bCs/>
          <w:color w:val="auto"/>
          <w:spacing w:val="14"/>
          <w:sz w:val="24"/>
          <w:szCs w:val="24"/>
          <w:highlight w:val="none"/>
        </w:rPr>
      </w:pPr>
      <w:r>
        <w:rPr>
          <w:rFonts w:hint="eastAsia" w:ascii="仿宋" w:hAnsi="仿宋" w:eastAsia="仿宋" w:cs="仿宋"/>
          <w:bCs/>
          <w:color w:val="auto"/>
          <w:spacing w:val="14"/>
          <w:sz w:val="24"/>
          <w:szCs w:val="24"/>
          <w:highlight w:val="none"/>
        </w:rPr>
        <w:t>3.招标文件的澄清、修改</w:t>
      </w:r>
    </w:p>
    <w:p w14:paraId="038BE094">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3.1招标文件的澄清、修改将在招标公告发布公告的媒介上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 </w:t>
      </w:r>
    </w:p>
    <w:p w14:paraId="41DFBE26">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3.2因洛阳市电子招投标交易平台在开标前具有保密性，投标人在投标文件递交截止时间前须自行查看项目进展、变更通知、澄清及回复，因投标人未及时查看而造成的后果自负。</w:t>
      </w:r>
    </w:p>
    <w:p w14:paraId="7F565834">
      <w:pPr>
        <w:pStyle w:val="34"/>
        <w:widowControl/>
        <w:spacing w:line="440" w:lineRule="exact"/>
        <w:rPr>
          <w:rFonts w:hint="eastAsia" w:ascii="仿宋" w:hAnsi="仿宋" w:eastAsia="仿宋" w:cs="仿宋"/>
          <w:bCs/>
          <w:color w:val="auto"/>
          <w:spacing w:val="14"/>
          <w:sz w:val="24"/>
          <w:szCs w:val="24"/>
          <w:highlight w:val="none"/>
        </w:rPr>
      </w:pPr>
      <w:r>
        <w:rPr>
          <w:rFonts w:hint="eastAsia" w:ascii="仿宋" w:hAnsi="仿宋" w:eastAsia="仿宋" w:cs="仿宋"/>
          <w:bCs/>
          <w:color w:val="auto"/>
          <w:spacing w:val="14"/>
          <w:sz w:val="24"/>
          <w:szCs w:val="24"/>
          <w:highlight w:val="none"/>
        </w:rPr>
        <w:t>4、开标</w:t>
      </w:r>
    </w:p>
    <w:p w14:paraId="0EECEBAF">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 w:val="21"/>
          <w:szCs w:val="21"/>
          <w:highlight w:val="none"/>
        </w:rPr>
        <w:t>本项目采用远程不见面交易的模式。开标当日，投标人无需到开标现场参加开标会议，投标人应当在投标截止时间前，登录远程开标大厅选择洛阳市公共资源电子招投标系统进行登录（网址为http://61.54.85.189/BidOpening），在线准时参加开标活动并进行投标文件解密等。因投标人原因未能解密、解密失败或解密超时的将被拒绝。</w:t>
      </w:r>
    </w:p>
    <w:p w14:paraId="539D48BF">
      <w:pPr>
        <w:pStyle w:val="34"/>
        <w:widowControl/>
        <w:spacing w:line="440" w:lineRule="exact"/>
        <w:rPr>
          <w:rFonts w:hint="eastAsia" w:ascii="仿宋" w:hAnsi="仿宋" w:eastAsia="仿宋" w:cs="仿宋"/>
          <w:bCs/>
          <w:color w:val="auto"/>
          <w:spacing w:val="14"/>
          <w:sz w:val="24"/>
          <w:szCs w:val="24"/>
          <w:highlight w:val="none"/>
        </w:rPr>
      </w:pPr>
      <w:r>
        <w:rPr>
          <w:rFonts w:hint="eastAsia" w:ascii="仿宋" w:hAnsi="仿宋" w:eastAsia="仿宋" w:cs="仿宋"/>
          <w:bCs/>
          <w:color w:val="auto"/>
          <w:spacing w:val="14"/>
          <w:sz w:val="24"/>
          <w:szCs w:val="24"/>
          <w:highlight w:val="none"/>
        </w:rPr>
        <w:t>5、开标异常处理</w:t>
      </w:r>
    </w:p>
    <w:p w14:paraId="02D08FE7">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当出现以下情况时，应对未开标的中止电子开标，对原有资料及信息作出妥善保密处理，并在恢复正常后及时安排时间开标：</w:t>
      </w:r>
    </w:p>
    <w:p w14:paraId="309A8280">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（1）系统服务器发生故障，无法访问或无法使用系统；</w:t>
      </w:r>
    </w:p>
    <w:p w14:paraId="27F1C8CF">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（2）系统的软件或数据库出现错误，不能进行正常操作；</w:t>
      </w:r>
    </w:p>
    <w:p w14:paraId="5BFC1C64">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（3）系统发现有安全漏洞，有潜在的泄密危险；</w:t>
      </w:r>
    </w:p>
    <w:p w14:paraId="51A279ED">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（4）出现断电事故且短时间内无法恢复供电；</w:t>
      </w:r>
    </w:p>
    <w:p w14:paraId="0CEC600C">
      <w:pPr>
        <w:pStyle w:val="34"/>
        <w:widowControl/>
        <w:spacing w:line="440" w:lineRule="exact"/>
        <w:ind w:firstLine="482"/>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（5）其他无法保证招投标过程正常进行的情形。</w:t>
      </w:r>
    </w:p>
    <w:p w14:paraId="3232D782">
      <w:pPr>
        <w:pStyle w:val="34"/>
        <w:widowControl/>
        <w:spacing w:line="440" w:lineRule="exact"/>
        <w:ind w:firstLine="482"/>
        <w:rPr>
          <w:rFonts w:hint="eastAsia" w:ascii="仿宋" w:hAnsi="仿宋" w:eastAsia="仿宋" w:cs="仿宋"/>
          <w:color w:val="auto"/>
          <w:spacing w:val="14"/>
          <w:sz w:val="21"/>
          <w:szCs w:val="21"/>
          <w:highlight w:val="none"/>
        </w:rPr>
      </w:pPr>
    </w:p>
    <w:p w14:paraId="7BDFA00B">
      <w:pPr>
        <w:pStyle w:val="34"/>
        <w:widowControl/>
        <w:spacing w:line="440" w:lineRule="exact"/>
        <w:ind w:firstLine="482"/>
        <w:rPr>
          <w:rFonts w:hint="eastAsia" w:ascii="仿宋" w:hAnsi="仿宋" w:eastAsia="仿宋" w:cs="仿宋"/>
          <w:color w:val="auto"/>
          <w:spacing w:val="14"/>
          <w:szCs w:val="21"/>
          <w:highlight w:val="none"/>
        </w:rPr>
      </w:pPr>
      <w:r>
        <w:rPr>
          <w:rFonts w:hint="eastAsia" w:ascii="仿宋" w:hAnsi="仿宋" w:eastAsia="仿宋" w:cs="仿宋"/>
          <w:color w:val="auto"/>
          <w:spacing w:val="14"/>
          <w:sz w:val="21"/>
          <w:szCs w:val="21"/>
          <w:highlight w:val="none"/>
        </w:rPr>
        <w:t>注：以上提示性内容与招标文件正文不符的，以招标文件正文为准</w:t>
      </w:r>
    </w:p>
    <w:bookmarkEnd w:id="2"/>
    <w:bookmarkEnd w:id="3"/>
    <w:p w14:paraId="68769772">
      <w:pPr>
        <w:spacing w:line="460" w:lineRule="exact"/>
        <w:ind w:firstLine="420" w:firstLineChars="200"/>
        <w:rPr>
          <w:rFonts w:ascii="Times New Roman" w:hAnsi="Times New Roman" w:eastAsia="宋体" w:cs="Times New Roman"/>
          <w:color w:val="auto"/>
          <w:highlight w:val="none"/>
        </w:rPr>
      </w:pPr>
    </w:p>
    <w:p w14:paraId="5066D0AE">
      <w:pPr>
        <w:spacing w:line="460" w:lineRule="exact"/>
        <w:ind w:firstLine="420" w:firstLineChars="200"/>
        <w:rPr>
          <w:color w:val="auto"/>
          <w:highlight w:val="none"/>
        </w:rPr>
        <w:sectPr>
          <w:headerReference r:id="rId7" w:type="first"/>
          <w:footerReference r:id="rId9" w:type="first"/>
          <w:headerReference r:id="rId6" w:type="default"/>
          <w:footerReference r:id="rId8" w:type="default"/>
          <w:pgSz w:w="11906" w:h="16838"/>
          <w:pgMar w:top="1440" w:right="1587" w:bottom="1440" w:left="1587" w:header="851" w:footer="992" w:gutter="0"/>
          <w:pgNumType w:fmt="decimal" w:start="1"/>
          <w:cols w:space="720" w:num="1"/>
          <w:titlePg/>
          <w:docGrid w:type="lines" w:linePitch="312" w:charSpace="0"/>
        </w:sectPr>
      </w:pPr>
    </w:p>
    <w:p w14:paraId="1C7F5F7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洛阳市公共资源交易中心暗标要求及暗标编制指引</w:t>
      </w:r>
    </w:p>
    <w:p w14:paraId="43BDE9E3">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一、洛阳市公共资源交易中心投标文件暗标制作要求</w:t>
      </w:r>
    </w:p>
    <w:p w14:paraId="3EAE10BD">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（1）签章要求：不得对暗标部分进行电子签章。</w:t>
      </w:r>
    </w:p>
    <w:p w14:paraId="74B98D1C">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38542BFE">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（3）标题编号要求：标题序号最多设置7级，每一个暗标部分的标题都要重新开始编号，编号格式为：</w:t>
      </w:r>
    </w:p>
    <w:p w14:paraId="5B0AC4BE">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一级为“一、”、“二、”......，</w:t>
      </w:r>
    </w:p>
    <w:p w14:paraId="5E579082">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二级为“（一）”、“（二）”......，</w:t>
      </w:r>
    </w:p>
    <w:p w14:paraId="0A8061E8">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三级为“1.”、“2.”......，</w:t>
      </w:r>
    </w:p>
    <w:p w14:paraId="4539FE1C">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四级为“（1）”、“（2）”......，</w:t>
      </w:r>
    </w:p>
    <w:p w14:paraId="4A42A788">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五级为“1）”、“2）”......，</w:t>
      </w:r>
    </w:p>
    <w:p w14:paraId="26673C24">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六级为“a.”、“b.”......，</w:t>
      </w:r>
    </w:p>
    <w:p w14:paraId="2480A224">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七级为“a）”、“b）”......。</w:t>
      </w:r>
    </w:p>
    <w:p w14:paraId="522331C9">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（4）图表要求：电脑绘制（不得手绘），白底黑字。宋体四号字，字体不允许倾斜和下划线；</w:t>
      </w:r>
    </w:p>
    <w:p w14:paraId="2175324D">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（5）内容中不得出现投标人名称和其他可识别投标人身份的字符、徽标、人员名称以及其他特殊标记等。</w:t>
      </w:r>
    </w:p>
    <w:p w14:paraId="1FA5A873">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（6）不得插入图片（招标文件要求有图片除外）。</w:t>
      </w:r>
    </w:p>
    <w:p w14:paraId="5BEC929F">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二、暗标编制特别注意事项</w:t>
      </w:r>
    </w:p>
    <w:p w14:paraId="60029022">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（1）黑字必须为标准黑色字体，颜色为RGB（0,0,0）。</w:t>
      </w:r>
    </w:p>
    <w:p w14:paraId="6D2D94EA">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标准黑色字体设置方式：</w:t>
      </w:r>
    </w:p>
    <w:p w14:paraId="37AFE43B">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选中需要设置的文字，选中”字体颜色“，点击更多颜色，</w:t>
      </w:r>
    </w:p>
    <w:p w14:paraId="3A6A3B4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"https://mmecoa.qpic.cn/sz_mmecoa_png/6kzU9UbRXLOXyUoG7V9fDqJL3h9ZDFUmPNxMCxglgGVqx046YSh4FibUcv4iauV74SC6k9dMNPdficF2BRBHeuN1w/640?wx_fmt=png&amp;from=appmsg&amp;tp=wxpic&amp;wxfrom=10005&amp;wx_lazy=1&amp;wx_co=1"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3939540" cy="1938020"/>
            <wp:effectExtent l="0" t="0" r="7620" b="1270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7"/>
                    <a:stretch>
                      <a:fillRect/>
                    </a:stretch>
                  </pic:blipFill>
                  <pic:spPr>
                    <a:xfrm>
                      <a:off x="0" y="0"/>
                      <a:ext cx="3939540" cy="193802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4D0603EE">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选择自定义颜色，红色：绿色：蓝色均设置0：0：0，颜色即为标准黑色RGB（0,0,0）。</w:t>
      </w:r>
    </w:p>
    <w:p w14:paraId="6C1184B6">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"https://mmecoa.qpic.cn/sz_mmecoa_png/6kzU9UbRXLOXyUoG7V9fDqJL3h9ZDFUm5gwkezzoooK8xhXfW3MPghCfBCxiaNcCZTzq8AIWeJ3oNRhgw6IM5VA/640?wx_fmt=png&amp;from=appmsg&amp;tp=wxpic&amp;wxfrom=10005&amp;wx_lazy=1&amp;wx_co=1"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3951605" cy="2538095"/>
            <wp:effectExtent l="0" t="0" r="10795" b="698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8"/>
                    <a:stretch>
                      <a:fillRect/>
                    </a:stretch>
                  </pic:blipFill>
                  <pic:spPr>
                    <a:xfrm>
                      <a:off x="0" y="0"/>
                      <a:ext cx="3951605" cy="2538095"/>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051A34D6">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（2）标题编号制作方式：选择标题文字段，点击工具栏的标题，选择对应的标题级别。</w:t>
      </w:r>
    </w:p>
    <w:p w14:paraId="0A00239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"https://mmecoa.qpic.cn/sz_mmecoa_png/6kzU9UbRXLOXyUoG7V9fDqJL3h9ZDFUmtW2B4xcU4JBrPtoIXmjsOaaZDIdQlFiaI4u6Tx5JOznjibQRVbia8KsnA/640?wx_fmt=png&amp;from=appmsg&amp;tp=wxpic&amp;wxfrom=10005&amp;wx_lazy=1&amp;wx_co=1"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4083050" cy="2487295"/>
            <wp:effectExtent l="0" t="0" r="1270" b="1206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9"/>
                    <a:stretch>
                      <a:fillRect/>
                    </a:stretch>
                  </pic:blipFill>
                  <pic:spPr>
                    <a:xfrm>
                      <a:off x="0" y="0"/>
                      <a:ext cx="4083050" cy="2487295"/>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3F624D62">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（3）暗标内容编制完成后，全选以后查看字体字号颜色设置，手动进行调整为宋体四号，确保全文的文字均为宋体四号。颜色参考第一条进行调整。</w:t>
      </w:r>
    </w:p>
    <w:p w14:paraId="163F58B3">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"https://mmecoa.qpic.cn/sz_mmecoa_png/6kzU9UbRXLOXyUoG7V9fDqJL3h9ZDFUmIZlkHQac7zHbWF3jbBgYic6R3APQFLm4DTJEk2nTZMNL6Ad9FJPATaA/640?wx_fmt=png&amp;tp=wxpic&amp;wxfrom=10005&amp;wx_lazy=1&amp;wx_co=1"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4805680" cy="2818130"/>
            <wp:effectExtent l="0" t="0" r="10160" b="127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0"/>
                    <a:stretch>
                      <a:fillRect/>
                    </a:stretch>
                  </pic:blipFill>
                  <pic:spPr>
                    <a:xfrm>
                      <a:off x="0" y="0"/>
                      <a:ext cx="4805680" cy="281813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229015DF">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（4）全选以后，右键选择段落，在弹出的页面间距部分选择：段前，段后0行，行距选择固定值，填写28磅。</w:t>
      </w:r>
    </w:p>
    <w:p w14:paraId="4C32C41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"https://mmecoa.qpic.cn/sz_mmecoa_png/6kzU9UbRXLOXyUoG7V9fDqJL3h9ZDFUmun5zVTJUHasYxBSUCxDGJpRjS3NZ2ViaF8RHG1dKq6yh6iaOUHNtXqeA/640?wx_fmt=png&amp;from=appmsg&amp;tp=wxpic&amp;wxfrom=10005&amp;wx_lazy=1&amp;wx_co=1"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4895215" cy="4155440"/>
            <wp:effectExtent l="0" t="0" r="12065" b="508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21"/>
                    <a:stretch>
                      <a:fillRect/>
                    </a:stretch>
                  </pic:blipFill>
                  <pic:spPr>
                    <a:xfrm>
                      <a:off x="0" y="0"/>
                      <a:ext cx="4895215" cy="415544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0B6BCF31">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"https://mmecoa.qpic.cn/sz_mmecoa_png/6kzU9UbRXLOXyUoG7V9fDqJL3h9ZDFUmZvBerlm1U3ZJX10t31Slm636TbNkh4InAnWDRsUzLSST09iaO9VULWg/640?wx_fmt=png&amp;from=appmsg&amp;tp=wxpic&amp;wxfrom=10005&amp;wx_lazy=1&amp;wx_co=1"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3654425" cy="4187190"/>
            <wp:effectExtent l="0" t="0" r="3175"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22"/>
                    <a:stretch>
                      <a:fillRect/>
                    </a:stretch>
                  </pic:blipFill>
                  <pic:spPr>
                    <a:xfrm>
                      <a:off x="0" y="0"/>
                      <a:ext cx="3654425" cy="418719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6232AA60">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（5）切换到页面标签，点击页边距按钮。选择自定义页边距，在页面设置页面，将边距均填写2.5cm，应用于整篇文档，之后确定即可。</w:t>
      </w:r>
    </w:p>
    <w:p w14:paraId="7895862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"https://mmecoa.qpic.cn/sz_mmecoa_png/6kzU9UbRXLOXyUoG7V9fDqJL3h9ZDFUmEMxG2tNBvMibsgj15yGvibbMWeCmmKgyX1QLUnQplzaUgKzF3EdntnyQ/640?wx_fmt=png&amp;from=appmsg&amp;tp=wxpic&amp;wxfrom=10005&amp;wx_lazy=1&amp;wx_co=1"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4172585" cy="3632200"/>
            <wp:effectExtent l="0" t="0" r="3175" b="1016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23"/>
                    <a:stretch>
                      <a:fillRect/>
                    </a:stretch>
                  </pic:blipFill>
                  <pic:spPr>
                    <a:xfrm>
                      <a:off x="0" y="0"/>
                      <a:ext cx="4172585" cy="363220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5A333A71">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"https://mmecoa.qpic.cn/sz_mmecoa_png/6kzU9UbRXLOXyUoG7V9fDqJL3h9ZDFUmMhwvqqdL3HMZluiaBO5Sg6cgneDJDqDakPJibTCWcAWWTkIjv8AjlJAQ/640?wx_fmt=png&amp;from=appmsg&amp;tp=wxpic&amp;wxfrom=10005&amp;wx_lazy=1&amp;wx_co=1"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3403600" cy="4153535"/>
            <wp:effectExtent l="0" t="0" r="10160" b="6985"/>
            <wp:docPr id="12" name="图片 1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3"/>
                    <pic:cNvPicPr>
                      <a:picLocks noChangeAspect="1"/>
                    </pic:cNvPicPr>
                  </pic:nvPicPr>
                  <pic:blipFill>
                    <a:blip r:embed="rId24"/>
                    <a:stretch>
                      <a:fillRect/>
                    </a:stretch>
                  </pic:blipFill>
                  <pic:spPr>
                    <a:xfrm>
                      <a:off x="0" y="0"/>
                      <a:ext cx="3403600" cy="4153535"/>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2C73A739">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（6）如果暗标制作过程需要复制其他文档，粘贴时使用右键，选择“选择性粘贴”，使用“无格式文本”。这样可以保持格式和已完成的内容一致。</w:t>
      </w:r>
    </w:p>
    <w:p w14:paraId="3C39C228">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"https://mmecoa.qpic.cn/sz_mmecoa_png/6kzU9UbRXLOXyUoG7V9fDqJL3h9ZDFUm6ibBMFaFtSopdXDEmCq64aqvEpicfGfibHu8Sic23sHIpWQjXoibaHEKLHQ/640?wx_fmt=png&amp;from=appmsg&amp;tp=wxpic&amp;wxfrom=10005&amp;wx_lazy=1&amp;wx_co=1"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3500120" cy="3818890"/>
            <wp:effectExtent l="0" t="0" r="5080" b="635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5"/>
                    <a:stretch>
                      <a:fillRect/>
                    </a:stretch>
                  </pic:blipFill>
                  <pic:spPr>
                    <a:xfrm>
                      <a:off x="0" y="0"/>
                      <a:ext cx="3500120" cy="3818890"/>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4734C9BF">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fldChar w:fldCharType="begin"/>
      </w:r>
      <w:r>
        <w:rPr>
          <w:rFonts w:hint="eastAsia" w:ascii="仿宋" w:hAnsi="仿宋" w:eastAsia="仿宋" w:cs="仿宋"/>
          <w:snapToGrid w:val="0"/>
          <w:color w:val="auto"/>
          <w:kern w:val="0"/>
          <w:sz w:val="24"/>
          <w:szCs w:val="24"/>
          <w:highlight w:val="none"/>
          <w:lang w:val="en-US" w:eastAsia="zh-CN" w:bidi="ar-SA"/>
        </w:rPr>
        <w:instrText xml:space="preserve">INCLUDEPICTURE \d "https://mmecoa.qpic.cn/sz_mmecoa_png/6kzU9UbRXLOXyUoG7V9fDqJL3h9ZDFUmnib77DqG3hv0cSo3TyNgvTmPjDcu8NR2HLJT2hY1QjCPP1AWh50e91Q/640?wx_fmt=png&amp;from=appmsg&amp;tp=wxpic&amp;wxfrom=10005&amp;wx_lazy=1&amp;wx_co=1" \* MERGEFORMATINET </w:instrText>
      </w:r>
      <w:r>
        <w:rPr>
          <w:rFonts w:hint="eastAsia" w:ascii="仿宋" w:hAnsi="仿宋" w:eastAsia="仿宋" w:cs="仿宋"/>
          <w:snapToGrid w:val="0"/>
          <w:color w:val="auto"/>
          <w:kern w:val="0"/>
          <w:sz w:val="24"/>
          <w:szCs w:val="24"/>
          <w:highlight w:val="none"/>
          <w:lang w:val="en-US" w:eastAsia="zh-CN" w:bidi="ar-SA"/>
        </w:rPr>
        <w:fldChar w:fldCharType="separate"/>
      </w:r>
      <w:r>
        <w:rPr>
          <w:rFonts w:hint="eastAsia" w:ascii="仿宋" w:hAnsi="仿宋" w:eastAsia="仿宋" w:cs="仿宋"/>
          <w:snapToGrid w:val="0"/>
          <w:color w:val="auto"/>
          <w:kern w:val="0"/>
          <w:sz w:val="24"/>
          <w:szCs w:val="24"/>
          <w:highlight w:val="none"/>
          <w:lang w:val="en-US" w:eastAsia="zh-CN" w:bidi="ar-SA"/>
        </w:rPr>
        <w:drawing>
          <wp:inline distT="0" distB="0" distL="114300" distR="114300">
            <wp:extent cx="4096385" cy="3328035"/>
            <wp:effectExtent l="0" t="0" r="3175" b="952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6"/>
                    <a:stretch>
                      <a:fillRect/>
                    </a:stretch>
                  </pic:blipFill>
                  <pic:spPr>
                    <a:xfrm>
                      <a:off x="0" y="0"/>
                      <a:ext cx="4096385" cy="3328035"/>
                    </a:xfrm>
                    <a:prstGeom prst="rect">
                      <a:avLst/>
                    </a:prstGeom>
                    <a:noFill/>
                    <a:ln>
                      <a:noFill/>
                    </a:ln>
                  </pic:spPr>
                </pic:pic>
              </a:graphicData>
            </a:graphic>
          </wp:inline>
        </w:drawing>
      </w:r>
      <w:r>
        <w:rPr>
          <w:rFonts w:hint="eastAsia" w:ascii="仿宋" w:hAnsi="仿宋" w:eastAsia="仿宋" w:cs="仿宋"/>
          <w:snapToGrid w:val="0"/>
          <w:color w:val="auto"/>
          <w:kern w:val="0"/>
          <w:sz w:val="24"/>
          <w:szCs w:val="24"/>
          <w:highlight w:val="none"/>
          <w:lang w:val="en-US" w:eastAsia="zh-CN" w:bidi="ar-SA"/>
        </w:rPr>
        <w:fldChar w:fldCharType="end"/>
      </w:r>
    </w:p>
    <w:p w14:paraId="0D5FC2F6">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（7）每个暗标评审点的文档都要重新开始标题编号。</w:t>
      </w:r>
    </w:p>
    <w:p w14:paraId="46E788FC">
      <w:pPr>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jc w:val="left"/>
        <w:textAlignment w:val="baseline"/>
        <w:rPr>
          <w:rFonts w:hint="eastAsia" w:ascii="仿宋" w:hAnsi="仿宋" w:eastAsia="仿宋" w:cs="仿宋"/>
          <w:b/>
          <w:bCs/>
          <w:color w:val="auto"/>
          <w:spacing w:val="-16"/>
          <w:sz w:val="45"/>
          <w:szCs w:val="45"/>
          <w:highlight w:val="none"/>
        </w:rPr>
      </w:pPr>
      <w:r>
        <w:rPr>
          <w:rFonts w:hint="eastAsia" w:ascii="仿宋" w:hAnsi="仿宋" w:eastAsia="仿宋" w:cs="仿宋"/>
          <w:snapToGrid w:val="0"/>
          <w:color w:val="auto"/>
          <w:kern w:val="0"/>
          <w:sz w:val="24"/>
          <w:szCs w:val="24"/>
          <w:highlight w:val="none"/>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75FAFC8B">
      <w:pPr>
        <w:jc w:val="left"/>
        <w:rPr>
          <w:rFonts w:hint="eastAsia" w:ascii="仿宋" w:hAnsi="仿宋" w:eastAsia="仿宋" w:cs="仿宋"/>
          <w:b/>
          <w:color w:val="auto"/>
          <w:spacing w:val="14"/>
          <w:sz w:val="36"/>
          <w:szCs w:val="36"/>
          <w:highlight w:val="none"/>
        </w:rPr>
      </w:pPr>
      <w:r>
        <w:rPr>
          <w:rFonts w:hint="eastAsia" w:ascii="仿宋" w:hAnsi="仿宋" w:eastAsia="仿宋" w:cs="仿宋"/>
          <w:b/>
          <w:color w:val="auto"/>
          <w:spacing w:val="14"/>
          <w:sz w:val="36"/>
          <w:szCs w:val="36"/>
          <w:highlight w:val="none"/>
        </w:rPr>
        <w:br w:type="page"/>
      </w:r>
    </w:p>
    <w:p w14:paraId="3F7B40CF">
      <w:pPr>
        <w:jc w:val="center"/>
        <w:rPr>
          <w:rFonts w:hint="eastAsia" w:ascii="仿宋" w:hAnsi="仿宋" w:eastAsia="仿宋" w:cs="仿宋"/>
          <w:b/>
          <w:color w:val="auto"/>
          <w:spacing w:val="14"/>
          <w:sz w:val="36"/>
          <w:szCs w:val="36"/>
          <w:highlight w:val="none"/>
        </w:rPr>
      </w:pPr>
      <w:r>
        <w:rPr>
          <w:rFonts w:hint="eastAsia" w:ascii="仿宋" w:hAnsi="仿宋" w:eastAsia="仿宋" w:cs="仿宋"/>
          <w:b/>
          <w:color w:val="auto"/>
          <w:spacing w:val="14"/>
          <w:sz w:val="36"/>
          <w:szCs w:val="36"/>
          <w:highlight w:val="none"/>
        </w:rPr>
        <w:t>目 录</w:t>
      </w:r>
      <w:bookmarkEnd w:id="0"/>
      <w:bookmarkEnd w:id="1"/>
    </w:p>
    <w:p w14:paraId="0AB7A7BC">
      <w:pPr>
        <w:pStyle w:val="17"/>
        <w:tabs>
          <w:tab w:val="right" w:leader="dot" w:pos="8732"/>
          <w:tab w:val="clear" w:pos="8296"/>
        </w:tabs>
        <w:rPr>
          <w:rFonts w:hint="eastAsia" w:ascii="仿宋" w:hAnsi="仿宋" w:eastAsia="仿宋" w:cs="仿宋"/>
          <w:color w:val="auto"/>
          <w:highlight w:val="none"/>
        </w:rPr>
      </w:pPr>
      <w:r>
        <w:rPr>
          <w:rStyle w:val="29"/>
          <w:rFonts w:hint="eastAsia" w:ascii="仿宋" w:hAnsi="仿宋" w:eastAsia="仿宋" w:cs="仿宋"/>
          <w:color w:val="auto"/>
          <w:szCs w:val="21"/>
          <w:highlight w:val="none"/>
        </w:rPr>
        <w:fldChar w:fldCharType="begin"/>
      </w:r>
      <w:r>
        <w:rPr>
          <w:rStyle w:val="29"/>
          <w:rFonts w:hint="eastAsia" w:ascii="仿宋" w:hAnsi="仿宋" w:eastAsia="仿宋" w:cs="仿宋"/>
          <w:color w:val="auto"/>
          <w:szCs w:val="21"/>
          <w:highlight w:val="none"/>
        </w:rPr>
        <w:instrText xml:space="preserve"> TOC \o "1-3" \h \z \u </w:instrText>
      </w:r>
      <w:r>
        <w:rPr>
          <w:rStyle w:val="29"/>
          <w:rFonts w:hint="eastAsia" w:ascii="仿宋" w:hAnsi="仿宋" w:eastAsia="仿宋" w:cs="仿宋"/>
          <w:color w:val="auto"/>
          <w:szCs w:val="21"/>
          <w:highlight w:val="none"/>
        </w:rPr>
        <w:fldChar w:fldCharType="separate"/>
      </w: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_Toc26466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第一章 招标公告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_Toc26466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0CDA8EC">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_Toc19484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一、招标条件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_Toc19484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B598FCB">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_Toc17245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二、项目概况与招标范围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_Toc17245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A2D2AE2">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_Toc22970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三、投标人资格要求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_Toc22970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A364880">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_Toc7415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四、招标文件的获取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_Toc7415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B81B5F5">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_Toc4149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五、投标文件的递交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_Toc4149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7D592AB">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_Toc20423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六、投标保证金缴纳</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_Toc20423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236AAF6">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_Toc5274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七、提出异议的渠道和方式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_Toc5274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C414DA9">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_Toc3385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八、中标通知书发放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_Toc3385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782A5D0">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_Toc6411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九、签订合同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_Toc6411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EDFFF22">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_Toc29626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lang w:val="en-US" w:eastAsia="zh-CN"/>
        </w:rPr>
        <w:t>十</w:t>
      </w:r>
      <w:r>
        <w:rPr>
          <w:rFonts w:hint="eastAsia" w:ascii="仿宋" w:hAnsi="仿宋" w:eastAsia="仿宋" w:cs="仿宋"/>
          <w:color w:val="auto"/>
          <w:highlight w:val="none"/>
        </w:rPr>
        <w:t>、发布公告的媒介</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_Toc29626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BEE20BA">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_Toc2987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lang w:val="en-US" w:eastAsia="zh-CN"/>
        </w:rPr>
        <w:t>十一</w:t>
      </w:r>
      <w:r>
        <w:rPr>
          <w:rFonts w:hint="eastAsia" w:ascii="仿宋" w:hAnsi="仿宋" w:eastAsia="仿宋" w:cs="仿宋"/>
          <w:color w:val="auto"/>
          <w:highlight w:val="none"/>
        </w:rPr>
        <w:t>、联系方式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425F9F0">
      <w:pPr>
        <w:pStyle w:val="17"/>
        <w:tabs>
          <w:tab w:val="right" w:leader="dot" w:pos="8732"/>
          <w:tab w:val="clear" w:pos="8296"/>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_Toc9357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_Toc9357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1B113D1">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_Toc32190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1、总则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_Toc32190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32A0F9C">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_Toc25394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1.1招标项目概况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_Toc25394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90E2B3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_Toc9377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1.2资金来源和落实情况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_Toc9377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11AA639">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_Toc9056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1.3招标范围、工期、建设地点和质量标准等</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_Toc9056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06E261F">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_Toc21674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1.4投标人资格要求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_Toc21674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2B7363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_Toc5162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1.5费用承担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_Toc5162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FDF90C6">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_Toc1986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1.6保密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8713785">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_Toc21026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1.7语言文字</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_Toc21026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C64192F">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_Toc4411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1.8计量单位</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_Toc4411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54EE19D">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_Toc4148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1.9勘察施工现场、投标预备会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_Toc4148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B662765">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_Toc22954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1.10分包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_Toc22954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44D590A">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_Toc30870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1.11响应和偏差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_Toc30870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2280EF6">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_Toc32409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2、招标文件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_Toc32409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6376134">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_Toc1577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2.1招标文件的组成</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_Toc1577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B829BD6">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_Toc7392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2.2招标文件的澄清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_Toc7392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30</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C98D427">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_Toc8698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2.3招标文件的修改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_Toc8698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30</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5DA69BC">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_Toc670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2.4招标文件的异议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_Toc670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B260852">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_Toc28105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3、投标文件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_Toc28105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0446091">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_Toc11822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3.1投标文件的组成</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_Toc11822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B0C958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_Toc11197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3.2投标报价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_Toc11197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32</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21538ED">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_Toc27019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3.3投标有效期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_Toc27019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6F616A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_Toc29861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3.4投标保证金</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_Toc29861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D6C4D9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_Toc3576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3.5资格审查资料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_Toc3576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8F4DB75">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_Toc14726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3.6 备选投标方案</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_Toc14726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A13247B">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_Toc6649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3.7 投标文件的编制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_Toc6649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1938F3D">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_Toc12861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4、投标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_Toc12861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2A715A1">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_Toc21453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4.1 投标文件的密封和标记</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_Toc21453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FBE0F5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_Toc10872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4.2 投标文件的递交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_Toc10872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CB93914">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_Toc17682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4.3 投标文件的修改与撤回</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_Toc17682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0DEF4CC">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_Toc26469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5、开标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_Toc26469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ACBFEE2">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_Toc60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5.1 开标时间和地点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D576219">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_Toc29621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5.2开标程序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_Toc29621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3CD2C4D">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_Toc26368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6、评标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_Toc26368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AAC8924">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_Toc19693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6.1评标委员会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_Toc19693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D3EF43D">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_Toc8425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6.2评标原则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_Toc8425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8EAFB2B">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_Toc1056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6.3 评标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889B043">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_Toc11174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7、合同授予</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_Toc11174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E20C540">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_Toc13696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7.1中标候选人公示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_Toc13696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897A3D2">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_Toc31456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7.2评标结果异议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_Toc31456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02F77EA">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_Toc5480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7.3中标候选人履约能力审查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_Toc5480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5F8BA09">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_Toc2958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7.4定标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B19A7E1">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_Toc1741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7.5中标通知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C1293B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_Toc12072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7.6履约担保</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_Toc12072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211C5DA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_Toc3650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7.7签订合同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_Toc3650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1A31A13">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_Toc13603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8、重新招标和不再招标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_Toc13603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2C31CE9">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_Toc19941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8.1重新招标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_Toc19941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1B96B52">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_Toc3484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8.2不再招标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_Toc3484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389636D">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_Toc23029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9、纪律和监督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_Toc23029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CAFAEF4">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_Toc5665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9.1对招标人的纪律要求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_Toc5665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019D52F">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_Toc29412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9.2对投标人的纪律要求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_Toc29412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FE1330E">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_Toc2550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9.3对评标委员会成员的纪律要求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_Toc2550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3934ABD">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_Toc22812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9.4对与评标活动有关的工作人员的纪律要求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_Toc22812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4F25531">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_Toc6473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9.5投诉</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_Toc6473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CA56B22">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_Toc20436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highlight w:val="none"/>
        </w:rPr>
        <w:t>10、需要补充的其他内容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_Toc20436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DBEA985">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_Toc1837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附表二：问题的澄清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DA0B5DA">
      <w:pPr>
        <w:pStyle w:val="17"/>
        <w:tabs>
          <w:tab w:val="right" w:leader="dot" w:pos="8732"/>
          <w:tab w:val="clear" w:pos="8296"/>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_Toc20391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第三章 评标办法（综合评估法）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_Toc20391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5152555">
      <w:pPr>
        <w:pStyle w:val="20"/>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_Toc27737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1"/>
          <w:highlight w:val="none"/>
        </w:rPr>
        <w:t>评标办法前附表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4A20F7AA">
      <w:pPr>
        <w:pStyle w:val="17"/>
        <w:tabs>
          <w:tab w:val="right" w:leader="dot" w:pos="8732"/>
          <w:tab w:val="clear" w:pos="8296"/>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_Toc11982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第四章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51</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2BDA347">
      <w:pPr>
        <w:pStyle w:val="17"/>
        <w:tabs>
          <w:tab w:val="right" w:leader="dot" w:pos="8732"/>
          <w:tab w:val="clear" w:pos="8296"/>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_Toc27905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第五章 图纸</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_Toc27905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62</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38FB3191">
      <w:pPr>
        <w:pStyle w:val="17"/>
        <w:tabs>
          <w:tab w:val="right" w:leader="dot" w:pos="8732"/>
          <w:tab w:val="clear" w:pos="8296"/>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_Toc29732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第六章 技术标准和规范</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_Toc29732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55AE35C">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_Toc25147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rPr>
        <w:t>一、工程概况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_Toc25147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53DC6384">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_Toc29538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lang w:val="en-US" w:eastAsia="zh-CN"/>
        </w:rPr>
        <w:t>二</w:t>
      </w:r>
      <w:r>
        <w:rPr>
          <w:rFonts w:hint="eastAsia" w:ascii="仿宋" w:hAnsi="仿宋" w:eastAsia="仿宋" w:cs="仿宋"/>
          <w:color w:val="auto"/>
          <w:szCs w:val="24"/>
          <w:highlight w:val="none"/>
        </w:rPr>
        <w:t>、技术要求及其他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_Toc29538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63</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784EA7D3">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_Toc15315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lang w:val="en-US" w:eastAsia="zh-CN"/>
        </w:rPr>
        <w:t>三、工程量清单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_Toc15315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64</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0415FA03">
      <w:pPr>
        <w:pStyle w:val="13"/>
        <w:tabs>
          <w:tab w:val="right" w:leader="dot" w:pos="8732"/>
        </w:tabs>
        <w:rPr>
          <w:rFonts w:hint="eastAsia" w:ascii="仿宋" w:hAnsi="仿宋" w:eastAsia="仿宋" w:cs="仿宋"/>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_Toc1085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lang w:val="en-US" w:eastAsia="zh-CN"/>
        </w:rPr>
        <w:t>四、危险性较大的分部分项工程范围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_Toc1085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65</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6DC8E223">
      <w:pPr>
        <w:pStyle w:val="17"/>
        <w:tabs>
          <w:tab w:val="right" w:leader="dot" w:pos="8732"/>
          <w:tab w:val="clear" w:pos="8296"/>
        </w:tabs>
        <w:rPr>
          <w:rFonts w:hint="eastAsia" w:ascii="仿宋" w:hAnsi="仿宋" w:eastAsia="仿宋" w:cs="仿宋"/>
          <w:color w:val="auto"/>
          <w:szCs w:val="21"/>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_Toc17789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32"/>
          <w:highlight w:val="none"/>
        </w:rPr>
        <w:t>第七章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_Toc17789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67</w:t>
      </w:r>
      <w:r>
        <w:rPr>
          <w:rFonts w:hint="eastAsia" w:ascii="仿宋" w:hAnsi="仿宋" w:eastAsia="仿宋" w:cs="仿宋"/>
          <w:color w:val="auto"/>
          <w:highlight w:val="none"/>
        </w:rPr>
        <w:fldChar w:fldCharType="end"/>
      </w:r>
      <w:r>
        <w:rPr>
          <w:rFonts w:hint="eastAsia" w:ascii="仿宋" w:hAnsi="仿宋" w:eastAsia="仿宋" w:cs="仿宋"/>
          <w:color w:val="auto"/>
          <w:szCs w:val="21"/>
          <w:highlight w:val="none"/>
        </w:rPr>
        <w:fldChar w:fldCharType="end"/>
      </w:r>
    </w:p>
    <w:p w14:paraId="1ABA4FBC">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p>
    <w:p w14:paraId="34FC2FB0">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51830" cy="8747760"/>
            <wp:effectExtent l="0" t="0" r="0" b="0"/>
            <wp:docPr id="1" name="图片 1" descr="公平竞争自查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平竞争自查表01"/>
                    <pic:cNvPicPr>
                      <a:picLocks noChangeAspect="1"/>
                    </pic:cNvPicPr>
                  </pic:nvPicPr>
                  <pic:blipFill>
                    <a:blip r:embed="rId27"/>
                    <a:srcRect l="3337" r="3665"/>
                    <a:stretch>
                      <a:fillRect/>
                    </a:stretch>
                  </pic:blipFill>
                  <pic:spPr>
                    <a:xfrm>
                      <a:off x="0" y="0"/>
                      <a:ext cx="5751830" cy="8747760"/>
                    </a:xfrm>
                    <a:prstGeom prst="rect">
                      <a:avLst/>
                    </a:prstGeom>
                  </pic:spPr>
                </pic:pic>
              </a:graphicData>
            </a:graphic>
          </wp:inline>
        </w:drawing>
      </w:r>
    </w:p>
    <w:p w14:paraId="5F6EF3CB">
      <w:pPr>
        <w:rPr>
          <w:rFonts w:hint="eastAsia" w:eastAsia="宋体"/>
          <w:color w:val="auto"/>
          <w:highlight w:val="none"/>
          <w:lang w:eastAsia="zh-CN"/>
        </w:rPr>
      </w:pPr>
    </w:p>
    <w:p w14:paraId="2C167A51">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255385" cy="8460105"/>
            <wp:effectExtent l="0" t="0" r="0" b="0"/>
            <wp:docPr id="2" name="图片 2" descr="公平竞争自查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平竞争自查表02"/>
                    <pic:cNvPicPr>
                      <a:picLocks noChangeAspect="1"/>
                    </pic:cNvPicPr>
                  </pic:nvPicPr>
                  <pic:blipFill>
                    <a:blip r:embed="rId28"/>
                    <a:srcRect l="3279"/>
                    <a:stretch>
                      <a:fillRect/>
                    </a:stretch>
                  </pic:blipFill>
                  <pic:spPr>
                    <a:xfrm>
                      <a:off x="0" y="0"/>
                      <a:ext cx="6255385" cy="8460105"/>
                    </a:xfrm>
                    <a:prstGeom prst="rect">
                      <a:avLst/>
                    </a:prstGeom>
                  </pic:spPr>
                </pic:pic>
              </a:graphicData>
            </a:graphic>
          </wp:inline>
        </w:drawing>
      </w:r>
    </w:p>
    <w:p w14:paraId="256B9687">
      <w:pPr>
        <w:pStyle w:val="17"/>
        <w:spacing w:line="440" w:lineRule="exact"/>
        <w:rPr>
          <w:rStyle w:val="29"/>
          <w:rFonts w:hint="eastAsia"/>
          <w:color w:val="auto"/>
          <w:highlight w:val="none"/>
        </w:rPr>
        <w:sectPr>
          <w:footerReference r:id="rId10" w:type="default"/>
          <w:pgSz w:w="11906" w:h="16838"/>
          <w:pgMar w:top="1440" w:right="1587" w:bottom="1440" w:left="1587" w:header="851" w:footer="992" w:gutter="0"/>
          <w:pgNumType w:fmt="decimal"/>
          <w:cols w:space="720" w:num="1"/>
          <w:docGrid w:type="lines" w:linePitch="312" w:charSpace="0"/>
        </w:sectPr>
      </w:pPr>
      <w:r>
        <w:rPr>
          <w:rFonts w:hint="eastAsia" w:ascii="仿宋" w:hAnsi="仿宋" w:eastAsia="仿宋" w:cs="仿宋"/>
          <w:color w:val="auto"/>
          <w:szCs w:val="21"/>
          <w:highlight w:val="none"/>
        </w:rPr>
        <w:fldChar w:fldCharType="end"/>
      </w:r>
    </w:p>
    <w:p w14:paraId="38C3685D">
      <w:pPr>
        <w:pStyle w:val="2"/>
        <w:keepNext w:val="0"/>
        <w:keepLines w:val="0"/>
        <w:spacing w:before="0" w:after="0" w:line="240" w:lineRule="auto"/>
        <w:jc w:val="center"/>
        <w:rPr>
          <w:rFonts w:hint="eastAsia" w:ascii="仿宋" w:hAnsi="仿宋" w:eastAsia="仿宋" w:cs="仿宋"/>
          <w:color w:val="auto"/>
          <w:sz w:val="32"/>
          <w:szCs w:val="32"/>
          <w:highlight w:val="none"/>
        </w:rPr>
      </w:pPr>
      <w:bookmarkStart w:id="4" w:name="_Toc144974479"/>
      <w:bookmarkStart w:id="5" w:name="_Toc26466"/>
      <w:bookmarkStart w:id="6" w:name="_Toc152042287"/>
      <w:bookmarkStart w:id="7" w:name="_Toc152045511"/>
      <w:bookmarkStart w:id="8" w:name="_Toc29526"/>
      <w:r>
        <w:rPr>
          <w:rFonts w:hint="eastAsia" w:ascii="仿宋" w:hAnsi="仿宋" w:eastAsia="仿宋" w:cs="仿宋"/>
          <w:color w:val="auto"/>
          <w:sz w:val="32"/>
          <w:szCs w:val="32"/>
          <w:highlight w:val="none"/>
        </w:rPr>
        <w:t>第一章 招标公告</w:t>
      </w:r>
      <w:bookmarkEnd w:id="4"/>
      <w:bookmarkEnd w:id="5"/>
      <w:bookmarkEnd w:id="6"/>
      <w:bookmarkEnd w:id="7"/>
      <w:bookmarkEnd w:id="8"/>
      <w:bookmarkStart w:id="9" w:name="_Hlk13584322"/>
    </w:p>
    <w:p w14:paraId="01995B5D">
      <w:pPr>
        <w:tabs>
          <w:tab w:val="left" w:pos="1118"/>
        </w:tabs>
        <w:ind w:right="295"/>
        <w:jc w:val="center"/>
        <w:rPr>
          <w:rFonts w:hint="eastAsia" w:ascii="仿宋" w:hAnsi="仿宋" w:eastAsia="仿宋" w:cs="仿宋"/>
          <w:b/>
          <w:bCs/>
          <w:color w:val="auto"/>
          <w:spacing w:val="-2"/>
          <w:sz w:val="28"/>
          <w:highlight w:val="none"/>
          <w:lang w:val="en-US" w:eastAsia="zh-CN"/>
        </w:rPr>
      </w:pPr>
      <w:bookmarkStart w:id="10" w:name="_Hlk37972830"/>
      <w:r>
        <w:rPr>
          <w:rFonts w:hint="eastAsia" w:ascii="仿宋" w:hAnsi="仿宋" w:eastAsia="仿宋" w:cs="仿宋"/>
          <w:b/>
          <w:bCs/>
          <w:color w:val="auto"/>
          <w:spacing w:val="-2"/>
          <w:sz w:val="28"/>
          <w:highlight w:val="none"/>
          <w:lang w:val="en-US" w:eastAsia="zh-CN"/>
        </w:rPr>
        <w:t>嵩县农业农村局2025年嵩县大坪乡0.5万亩高标准农田建设项目</w:t>
      </w:r>
    </w:p>
    <w:p w14:paraId="39FC952B">
      <w:pPr>
        <w:tabs>
          <w:tab w:val="left" w:pos="1118"/>
        </w:tabs>
        <w:ind w:right="295"/>
        <w:jc w:val="center"/>
        <w:rPr>
          <w:rFonts w:hint="eastAsia" w:ascii="仿宋" w:hAnsi="仿宋" w:eastAsia="仿宋" w:cs="仿宋"/>
          <w:b/>
          <w:bCs/>
          <w:color w:val="auto"/>
          <w:sz w:val="28"/>
          <w:highlight w:val="none"/>
        </w:rPr>
      </w:pPr>
      <w:r>
        <w:rPr>
          <w:rFonts w:hint="eastAsia" w:ascii="仿宋" w:hAnsi="仿宋" w:eastAsia="仿宋" w:cs="仿宋"/>
          <w:b/>
          <w:bCs/>
          <w:color w:val="auto"/>
          <w:spacing w:val="-2"/>
          <w:sz w:val="28"/>
          <w:highlight w:val="none"/>
        </w:rPr>
        <w:t>招标公告</w:t>
      </w:r>
    </w:p>
    <w:p w14:paraId="0867F025">
      <w:pPr>
        <w:pStyle w:val="3"/>
        <w:spacing w:before="159"/>
        <w:rPr>
          <w:rFonts w:hint="eastAsia" w:cs="Times New Roman"/>
          <w:color w:val="auto"/>
          <w:highlight w:val="none"/>
        </w:rPr>
      </w:pPr>
      <w:bookmarkStart w:id="11" w:name="_Toc19484"/>
      <w:bookmarkStart w:id="12" w:name="_Toc271"/>
      <w:r>
        <w:rPr>
          <w:rFonts w:hint="eastAsia" w:cs="Times New Roman"/>
          <w:color w:val="auto"/>
          <w:highlight w:val="none"/>
        </w:rPr>
        <w:t>一、招标条件</w:t>
      </w:r>
      <w:bookmarkEnd w:id="11"/>
      <w:bookmarkEnd w:id="12"/>
    </w:p>
    <w:p w14:paraId="51BA56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本招标项目为</w:t>
      </w:r>
      <w:r>
        <w:rPr>
          <w:rFonts w:hint="eastAsia" w:ascii="仿宋" w:hAnsi="仿宋" w:eastAsia="仿宋" w:cs="仿宋"/>
          <w:color w:val="auto"/>
          <w:sz w:val="24"/>
          <w:highlight w:val="none"/>
          <w:lang w:val="en-US" w:eastAsia="zh-CN"/>
        </w:rPr>
        <w:t>嵩县农业农村局2025年嵩县大坪乡0.5万亩高标准农田建设项目</w:t>
      </w:r>
      <w:r>
        <w:rPr>
          <w:rFonts w:hint="eastAsia" w:ascii="仿宋" w:hAnsi="仿宋" w:eastAsia="仿宋" w:cs="仿宋"/>
          <w:color w:val="auto"/>
          <w:sz w:val="24"/>
          <w:highlight w:val="none"/>
        </w:rPr>
        <w:t>,招标人为</w:t>
      </w:r>
      <w:r>
        <w:rPr>
          <w:rFonts w:hint="eastAsia" w:ascii="仿宋" w:hAnsi="仿宋" w:eastAsia="仿宋" w:cs="仿宋"/>
          <w:color w:val="auto"/>
          <w:sz w:val="24"/>
          <w:highlight w:val="none"/>
          <w:lang w:val="en-US" w:eastAsia="zh-CN"/>
        </w:rPr>
        <w:t>嵩县农业农村局</w:t>
      </w:r>
      <w:r>
        <w:rPr>
          <w:rFonts w:hint="eastAsia" w:ascii="仿宋" w:hAnsi="仿宋" w:eastAsia="仿宋" w:cs="仿宋"/>
          <w:color w:val="auto"/>
          <w:sz w:val="24"/>
          <w:highlight w:val="none"/>
        </w:rPr>
        <w:t>，招标项目资金为</w:t>
      </w:r>
      <w:r>
        <w:rPr>
          <w:rFonts w:hint="eastAsia" w:ascii="仿宋" w:hAnsi="仿宋" w:eastAsia="仿宋" w:cs="仿宋"/>
          <w:color w:val="auto"/>
          <w:sz w:val="24"/>
          <w:highlight w:val="none"/>
          <w:lang w:eastAsia="zh-CN"/>
        </w:rPr>
        <w:t>财政资金</w:t>
      </w:r>
      <w:r>
        <w:rPr>
          <w:rFonts w:hint="eastAsia" w:ascii="仿宋" w:hAnsi="仿宋" w:eastAsia="仿宋" w:cs="仿宋"/>
          <w:color w:val="auto"/>
          <w:sz w:val="24"/>
          <w:highlight w:val="none"/>
        </w:rPr>
        <w:t>，出资比例为100%，资金已落实。该项目已具备招标条件，现进行公开招标，欢迎投标人积极参加。</w:t>
      </w:r>
    </w:p>
    <w:p w14:paraId="753C5423">
      <w:pPr>
        <w:pStyle w:val="3"/>
        <w:spacing w:before="159"/>
        <w:rPr>
          <w:rFonts w:hint="eastAsia" w:cs="Times New Roman"/>
          <w:color w:val="auto"/>
          <w:highlight w:val="none"/>
        </w:rPr>
      </w:pPr>
      <w:bookmarkStart w:id="13" w:name="_Toc27089"/>
      <w:bookmarkStart w:id="14" w:name="_Toc17245"/>
      <w:r>
        <w:rPr>
          <w:rFonts w:hint="eastAsia" w:cs="Times New Roman"/>
          <w:color w:val="auto"/>
          <w:highlight w:val="none"/>
        </w:rPr>
        <w:t>二、项目概况与招标范围</w:t>
      </w:r>
      <w:bookmarkEnd w:id="13"/>
      <w:bookmarkEnd w:id="14"/>
    </w:p>
    <w:p w14:paraId="309AAF3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1、项目名称：</w:t>
      </w:r>
      <w:r>
        <w:rPr>
          <w:rFonts w:hint="eastAsia" w:ascii="仿宋" w:hAnsi="仿宋" w:eastAsia="仿宋" w:cs="仿宋"/>
          <w:color w:val="auto"/>
          <w:sz w:val="24"/>
          <w:highlight w:val="none"/>
          <w:lang w:val="en-US" w:eastAsia="zh-CN"/>
        </w:rPr>
        <w:t>嵩县农业农村局2025年嵩县大坪乡0.5万亩高标准农田建设项目</w:t>
      </w:r>
    </w:p>
    <w:p w14:paraId="53A04F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2、项目编号：</w:t>
      </w:r>
      <w:r>
        <w:rPr>
          <w:rFonts w:hint="eastAsia" w:ascii="仿宋" w:hAnsi="仿宋" w:eastAsia="仿宋" w:cs="仿宋"/>
          <w:color w:val="auto"/>
          <w:sz w:val="24"/>
          <w:highlight w:val="none"/>
          <w:lang w:val="en-US" w:eastAsia="zh-CN"/>
        </w:rPr>
        <w:t>嵩政采公开-2025-72</w:t>
      </w:r>
    </w:p>
    <w:p w14:paraId="656599C6">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3、项目概况：</w:t>
      </w:r>
      <w:r>
        <w:rPr>
          <w:rFonts w:hint="eastAsia" w:ascii="仿宋" w:hAnsi="仿宋" w:eastAsia="仿宋" w:cs="仿宋"/>
          <w:color w:val="auto"/>
          <w:sz w:val="24"/>
          <w:highlight w:val="none"/>
          <w:lang w:val="en-US" w:eastAsia="zh-CN"/>
        </w:rPr>
        <w:t>嵩县农业农村局2025年嵩县大坪乡0.5万亩高标准农田建设项目位于河南省洛阳市嵩县，主要内容为新建高标准农田0.5万亩，主要工程为田块整治工程、灌溉与排水工程、田间道路工程和其他配套工程等。</w:t>
      </w:r>
    </w:p>
    <w:p w14:paraId="04A1EC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、标段划分：本项目共划分为</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个标段</w:t>
      </w:r>
    </w:p>
    <w:p w14:paraId="565C761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嵩县农业农村局2025年嵩县大坪乡0.5万亩高标准农田建设项目一标段；</w:t>
      </w:r>
    </w:p>
    <w:p w14:paraId="7F8FC314">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嵩县农业农村局2025年嵩县大坪乡0.5万亩高标准农田建设项目二标段；</w:t>
      </w:r>
    </w:p>
    <w:p w14:paraId="06FAC3E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注：投标人可就一个标段进行完整投标，不得拆分，否则将不被接受。投标人可对两个标段同时投标，但最多只能中一个标段。</w:t>
      </w:r>
    </w:p>
    <w:p w14:paraId="3EC475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、建设地点：洛阳市</w:t>
      </w:r>
      <w:r>
        <w:rPr>
          <w:rFonts w:hint="eastAsia" w:ascii="仿宋" w:hAnsi="仿宋" w:eastAsia="仿宋" w:cs="仿宋"/>
          <w:color w:val="auto"/>
          <w:sz w:val="24"/>
          <w:highlight w:val="none"/>
          <w:lang w:val="en-US" w:eastAsia="zh-CN"/>
        </w:rPr>
        <w:t>嵩县</w:t>
      </w:r>
      <w:r>
        <w:rPr>
          <w:rFonts w:hint="eastAsia" w:ascii="仿宋" w:hAnsi="仿宋" w:eastAsia="仿宋" w:cs="仿宋"/>
          <w:color w:val="auto"/>
          <w:sz w:val="24"/>
          <w:highlight w:val="none"/>
        </w:rPr>
        <w:t>。</w:t>
      </w:r>
    </w:p>
    <w:p w14:paraId="3899C2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、资金来源及出资比例：</w:t>
      </w:r>
      <w:r>
        <w:rPr>
          <w:rFonts w:hint="eastAsia" w:ascii="仿宋" w:hAnsi="仿宋" w:eastAsia="仿宋" w:cs="仿宋"/>
          <w:color w:val="auto"/>
          <w:sz w:val="24"/>
          <w:highlight w:val="none"/>
          <w:lang w:val="en-US" w:eastAsia="zh-CN"/>
        </w:rPr>
        <w:t>财政资金</w:t>
      </w:r>
      <w:r>
        <w:rPr>
          <w:rFonts w:hint="eastAsia" w:ascii="仿宋" w:hAnsi="仿宋" w:eastAsia="仿宋" w:cs="仿宋"/>
          <w:color w:val="auto"/>
          <w:sz w:val="24"/>
          <w:highlight w:val="none"/>
        </w:rPr>
        <w:t>，100%。</w:t>
      </w:r>
    </w:p>
    <w:p w14:paraId="595455F6">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、招标控制价（最高投标限价）</w:t>
      </w:r>
      <w:r>
        <w:rPr>
          <w:rFonts w:hint="eastAsia" w:ascii="仿宋" w:hAnsi="仿宋" w:eastAsia="仿宋" w:cs="仿宋"/>
          <w:color w:val="auto"/>
          <w:sz w:val="24"/>
          <w:highlight w:val="none"/>
          <w:lang w:val="en-US" w:eastAsia="zh-CN"/>
        </w:rPr>
        <w:t>13815695.89</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eastAsia="zh-CN"/>
        </w:rPr>
        <w:t>，</w:t>
      </w:r>
    </w:p>
    <w:p w14:paraId="798FD930">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其中，一标段：7222640.90元，二标段：6593054.99元</w:t>
      </w:r>
      <w:r>
        <w:rPr>
          <w:rFonts w:hint="eastAsia" w:ascii="仿宋" w:hAnsi="仿宋" w:eastAsia="仿宋" w:cs="仿宋"/>
          <w:color w:val="auto"/>
          <w:sz w:val="24"/>
          <w:highlight w:val="none"/>
        </w:rPr>
        <w:t>。</w:t>
      </w:r>
    </w:p>
    <w:p w14:paraId="593C739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、招标范围：本项目招标文件、工程量清单、施工图纸及答疑（若有）范围内的全部内容。</w:t>
      </w:r>
    </w:p>
    <w:p w14:paraId="5B9BEDE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、工期：</w:t>
      </w:r>
      <w:r>
        <w:rPr>
          <w:rFonts w:hint="eastAsia" w:ascii="仿宋" w:hAnsi="仿宋" w:eastAsia="仿宋" w:cs="仿宋"/>
          <w:color w:val="auto"/>
          <w:sz w:val="24"/>
          <w:highlight w:val="none"/>
          <w:lang w:val="en-US" w:eastAsia="zh-CN"/>
        </w:rPr>
        <w:t>210</w:t>
      </w:r>
      <w:r>
        <w:rPr>
          <w:rFonts w:hint="eastAsia" w:ascii="仿宋" w:hAnsi="仿宋" w:eastAsia="仿宋" w:cs="仿宋"/>
          <w:color w:val="auto"/>
          <w:sz w:val="24"/>
          <w:highlight w:val="none"/>
        </w:rPr>
        <w:t>日历天。</w:t>
      </w:r>
    </w:p>
    <w:p w14:paraId="69DD26CB">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、质量标准：符合现行国家有关工程施工验收规范和标准的要求（合格）</w:t>
      </w:r>
      <w:r>
        <w:rPr>
          <w:rFonts w:hint="eastAsia" w:ascii="仿宋" w:hAnsi="仿宋" w:eastAsia="仿宋" w:cs="仿宋"/>
          <w:color w:val="auto"/>
          <w:sz w:val="24"/>
          <w:highlight w:val="none"/>
          <w:lang w:eastAsia="zh-CN"/>
        </w:rPr>
        <w:t>；</w:t>
      </w:r>
    </w:p>
    <w:p w14:paraId="2C401F90">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11、安全目标：杜绝重伤、死亡事故；</w:t>
      </w:r>
    </w:p>
    <w:p w14:paraId="4FB8D343">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12、文明工地目标：市级文明工地；</w:t>
      </w:r>
    </w:p>
    <w:p w14:paraId="0345D729">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13、扬尘防治目标：严格按照国家、省、市扬尘污染防治标准及各项扬尘管控指令，做到达标生产；</w:t>
      </w:r>
    </w:p>
    <w:p w14:paraId="5CC05C1F">
      <w:pPr>
        <w:spacing w:line="360" w:lineRule="auto"/>
        <w:ind w:firstLine="480" w:firstLineChars="200"/>
        <w:rPr>
          <w:rFonts w:hint="eastAsia"/>
          <w:color w:val="auto"/>
          <w:highlight w:val="none"/>
        </w:rPr>
      </w:pPr>
      <w:r>
        <w:rPr>
          <w:rFonts w:hint="eastAsia" w:ascii="仿宋" w:hAnsi="仿宋" w:eastAsia="仿宋" w:cs="仿宋"/>
          <w:color w:val="auto"/>
          <w:sz w:val="24"/>
          <w:highlight w:val="none"/>
          <w:lang w:val="en-US" w:eastAsia="zh-CN"/>
        </w:rPr>
        <w:t>14、政府采购政策：本项目一标段、二标段支持中小微企业（监狱企业、残疾人福利性企业视同小微企业）；以工代赈、执行绿色节约能源、保护环境、落实绿色建筑、绿色建材、扶持不发达地区和少数民族地区、促进自主创新产业发展。</w:t>
      </w:r>
    </w:p>
    <w:p w14:paraId="62237699">
      <w:pPr>
        <w:pStyle w:val="3"/>
        <w:spacing w:before="159"/>
        <w:rPr>
          <w:rFonts w:hint="eastAsia" w:cs="Times New Roman"/>
          <w:color w:val="auto"/>
          <w:highlight w:val="none"/>
        </w:rPr>
      </w:pPr>
      <w:bookmarkStart w:id="15" w:name="_Toc22970"/>
      <w:bookmarkStart w:id="16" w:name="_Toc10038"/>
      <w:r>
        <w:rPr>
          <w:rFonts w:hint="eastAsia" w:cs="Times New Roman"/>
          <w:color w:val="auto"/>
          <w:highlight w:val="none"/>
        </w:rPr>
        <w:t>三、投标人资格要求</w:t>
      </w:r>
      <w:bookmarkEnd w:id="15"/>
      <w:bookmarkEnd w:id="16"/>
    </w:p>
    <w:p w14:paraId="73230C6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1、投标人具有独立承担民事责任的能力，须提供有效的营业执照。</w:t>
      </w:r>
      <w:r>
        <w:rPr>
          <w:rFonts w:hint="eastAsia" w:ascii="仿宋" w:hAnsi="仿宋" w:eastAsia="仿宋" w:cs="仿宋"/>
          <w:b/>
          <w:color w:val="auto"/>
          <w:sz w:val="24"/>
          <w:highlight w:val="none"/>
        </w:rPr>
        <w:t>（投标文件中须附以上证件的原件扫描件，并加盖</w:t>
      </w:r>
      <w:r>
        <w:rPr>
          <w:rFonts w:hint="eastAsia" w:ascii="仿宋" w:hAnsi="仿宋" w:eastAsia="仿宋" w:cs="仿宋"/>
          <w:b/>
          <w:color w:val="auto"/>
          <w:sz w:val="24"/>
          <w:highlight w:val="none"/>
          <w:lang w:eastAsia="zh-CN"/>
        </w:rPr>
        <w:t>单位公章</w:t>
      </w:r>
      <w:r>
        <w:rPr>
          <w:rFonts w:hint="eastAsia" w:ascii="仿宋" w:hAnsi="仿宋" w:eastAsia="仿宋" w:cs="仿宋"/>
          <w:b/>
          <w:color w:val="auto"/>
          <w:sz w:val="24"/>
          <w:highlight w:val="none"/>
        </w:rPr>
        <w:t>。）</w:t>
      </w:r>
    </w:p>
    <w:p w14:paraId="4F310BDE">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2、投标人须</w:t>
      </w:r>
      <w:r>
        <w:rPr>
          <w:rFonts w:hint="eastAsia" w:ascii="仿宋" w:hAnsi="仿宋" w:eastAsia="仿宋" w:cs="仿宋"/>
          <w:bCs/>
          <w:color w:val="auto"/>
          <w:sz w:val="24"/>
          <w:highlight w:val="none"/>
          <w:lang w:val="en-US" w:eastAsia="zh-CN"/>
        </w:rPr>
        <w:t>具有行政主管部门核发的水利水电工程施工总承包贰级（含）以上资质，具有有效的安全生产许可证。</w:t>
      </w:r>
      <w:r>
        <w:rPr>
          <w:rFonts w:hint="eastAsia" w:ascii="仿宋" w:hAnsi="仿宋" w:eastAsia="仿宋" w:cs="仿宋"/>
          <w:b/>
          <w:color w:val="auto"/>
          <w:sz w:val="24"/>
          <w:highlight w:val="none"/>
        </w:rPr>
        <w:t>（投标文件中须附以上证件的原件扫描件，并加盖</w:t>
      </w:r>
      <w:r>
        <w:rPr>
          <w:rFonts w:hint="eastAsia" w:ascii="仿宋" w:hAnsi="仿宋" w:eastAsia="仿宋" w:cs="仿宋"/>
          <w:b/>
          <w:color w:val="auto"/>
          <w:sz w:val="24"/>
          <w:highlight w:val="none"/>
          <w:lang w:eastAsia="zh-CN"/>
        </w:rPr>
        <w:t>单位公章</w:t>
      </w:r>
      <w:r>
        <w:rPr>
          <w:rFonts w:hint="eastAsia" w:ascii="仿宋" w:hAnsi="仿宋" w:eastAsia="仿宋" w:cs="仿宋"/>
          <w:b/>
          <w:color w:val="auto"/>
          <w:sz w:val="24"/>
          <w:highlight w:val="none"/>
        </w:rPr>
        <w:t>。）</w:t>
      </w:r>
    </w:p>
    <w:p w14:paraId="52D2F291">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投标人拟派项目经理须具有水利水电工程专业二级（含）以上注册建造师资格（不含临时建造师）及有效的安全生产考核合格证书，且拟派项目经理无其他在建工程。</w:t>
      </w:r>
      <w:r>
        <w:rPr>
          <w:rFonts w:hint="eastAsia" w:ascii="仿宋" w:hAnsi="仿宋" w:eastAsia="仿宋" w:cs="仿宋"/>
          <w:b/>
          <w:color w:val="auto"/>
          <w:sz w:val="24"/>
          <w:highlight w:val="none"/>
        </w:rPr>
        <w:t>（投标文件中须附以上证件的原件扫描件、无在</w:t>
      </w:r>
      <w:r>
        <w:rPr>
          <w:rFonts w:hint="eastAsia" w:ascii="仿宋" w:hAnsi="仿宋" w:eastAsia="仿宋" w:cs="仿宋"/>
          <w:b/>
          <w:color w:val="auto"/>
          <w:sz w:val="24"/>
          <w:highlight w:val="none"/>
          <w:lang w:val="en-US" w:eastAsia="zh-CN"/>
        </w:rPr>
        <w:t>建</w:t>
      </w:r>
      <w:r>
        <w:rPr>
          <w:rFonts w:hint="eastAsia" w:ascii="仿宋" w:hAnsi="仿宋" w:eastAsia="仿宋" w:cs="仿宋"/>
          <w:b/>
          <w:color w:val="auto"/>
          <w:sz w:val="24"/>
          <w:highlight w:val="none"/>
        </w:rPr>
        <w:t>承诺书，并加盖单位公章）</w:t>
      </w:r>
    </w:p>
    <w:p w14:paraId="04856CAB">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36454611">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（1）符合国家相关规定的财务状况报告；</w:t>
      </w:r>
    </w:p>
    <w:p w14:paraId="364DCEC6">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（2）依法缴纳税收的证明材料；</w:t>
      </w:r>
    </w:p>
    <w:p w14:paraId="7CE98C13">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（3）依法缴纳社会保障资金的证明材料；</w:t>
      </w:r>
    </w:p>
    <w:p w14:paraId="2F7CB272">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（4）具备履行合同所必需的设备和专业技术能力的证明材料；</w:t>
      </w:r>
    </w:p>
    <w:p w14:paraId="44D8F77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（5）参加招标活动前三年内在经营活动中没有重大违法记录的证明材料；</w:t>
      </w:r>
    </w:p>
    <w:p w14:paraId="1F0EFD5B">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（6）未被列入失信被执行人、税收违法黑名单、案件当事人名单、政府采购严重违法失信行为记录名单的证明材料。</w:t>
      </w:r>
    </w:p>
    <w:p w14:paraId="2EC2F425">
      <w:pPr>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bCs/>
          <w:color w:val="auto"/>
          <w:sz w:val="24"/>
          <w:highlight w:val="none"/>
        </w:rPr>
        <w:t>（投标文件中须附信用承诺函，并加盖单位公章。）</w:t>
      </w:r>
    </w:p>
    <w:p w14:paraId="15D90A8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、本项目不接受联合体投标。</w:t>
      </w:r>
    </w:p>
    <w:p w14:paraId="150E3D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本次招标实行资格后审，资格审查不合格者，取消其投标资格。</w:t>
      </w:r>
    </w:p>
    <w:p w14:paraId="28B1A372">
      <w:pPr>
        <w:pStyle w:val="3"/>
        <w:spacing w:before="159"/>
        <w:rPr>
          <w:rFonts w:hint="eastAsia" w:cs="Times New Roman"/>
          <w:color w:val="auto"/>
          <w:highlight w:val="none"/>
        </w:rPr>
      </w:pPr>
      <w:bookmarkStart w:id="17" w:name="_Toc16312"/>
      <w:bookmarkStart w:id="18" w:name="_Toc7415"/>
      <w:r>
        <w:rPr>
          <w:rFonts w:hint="eastAsia" w:cs="Times New Roman"/>
          <w:color w:val="auto"/>
          <w:highlight w:val="none"/>
        </w:rPr>
        <w:t>四、招标文件的获取</w:t>
      </w:r>
      <w:bookmarkEnd w:id="17"/>
      <w:bookmarkEnd w:id="18"/>
    </w:p>
    <w:p w14:paraId="1C33A5B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次招标文件在网上获取，请登录洛阳市公共资源交易中心网站（lyggzyjy.ly.gov.cn），点击“http://61.54.85.189/tpbidder”进入“洛阳市电子招投标交易平台”进行用户注册，并办理CA数字证书。详见洛阳市公共资源交易中心网站—办事指南—办事流程—新交易平台使用手册。</w:t>
      </w:r>
    </w:p>
    <w:p w14:paraId="332D35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2、办理数字证书后，请于202</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28</w:t>
      </w:r>
      <w:r>
        <w:rPr>
          <w:rFonts w:hint="eastAsia" w:ascii="仿宋" w:hAnsi="仿宋" w:eastAsia="仿宋" w:cs="仿宋"/>
          <w:bCs/>
          <w:color w:val="auto"/>
          <w:sz w:val="24"/>
          <w:highlight w:val="none"/>
        </w:rPr>
        <w:t>日至202</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日</w:t>
      </w:r>
      <w:r>
        <w:rPr>
          <w:rFonts w:hint="eastAsia" w:ascii="仿宋" w:hAnsi="仿宋" w:eastAsia="仿宋" w:cs="仿宋"/>
          <w:bCs/>
          <w:color w:val="auto"/>
          <w:sz w:val="24"/>
          <w:highlight w:val="none"/>
          <w:lang w:val="en-US" w:eastAsia="zh-CN"/>
        </w:rPr>
        <w:t>23</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59</w:t>
      </w:r>
      <w:r>
        <w:rPr>
          <w:rFonts w:hint="eastAsia" w:ascii="仿宋" w:hAnsi="仿宋" w:eastAsia="仿宋" w:cs="仿宋"/>
          <w:bCs/>
          <w:color w:val="auto"/>
          <w:sz w:val="24"/>
          <w:highlight w:val="none"/>
        </w:rPr>
        <w:t>，登录洛阳市公共资源交易中心网站，点击“http://61.54.85.189/tpbidder”，登录后，免费下载招标文件。如投多个标段，则应就所投每个标段分别下载获取。联合体投标的，由联合体牵头人完成招标文件下载。</w:t>
      </w:r>
    </w:p>
    <w:p w14:paraId="632BFD6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Arial" w:hAnsi="Arial" w:eastAsia="宋体" w:cs="Times New Roman"/>
          <w:bCs/>
          <w:color w:val="auto"/>
          <w:highlight w:val="none"/>
        </w:rPr>
      </w:pPr>
      <w:r>
        <w:rPr>
          <w:rFonts w:hint="eastAsia" w:ascii="仿宋" w:hAnsi="仿宋" w:eastAsia="仿宋" w:cs="仿宋"/>
          <w:color w:val="auto"/>
          <w:sz w:val="24"/>
          <w:highlight w:val="none"/>
        </w:rPr>
        <w:t>3、获取招标文件后，请到洛阳市公共资源交易中心网站—办事指南—下载中心栏目下载并安装最新版本投标文件制作软件，查看招标文件和制作电子投标文件</w:t>
      </w:r>
      <w:r>
        <w:rPr>
          <w:rFonts w:hint="eastAsia" w:ascii="Arial" w:hAnsi="Arial" w:eastAsia="宋体" w:cs="Times New Roman"/>
          <w:bCs/>
          <w:color w:val="auto"/>
          <w:highlight w:val="none"/>
        </w:rPr>
        <w:t>。</w:t>
      </w:r>
    </w:p>
    <w:p w14:paraId="31D252AA">
      <w:pPr>
        <w:pStyle w:val="3"/>
        <w:spacing w:before="159"/>
        <w:rPr>
          <w:rFonts w:hint="eastAsia" w:cs="Times New Roman"/>
          <w:color w:val="auto"/>
          <w:highlight w:val="none"/>
        </w:rPr>
      </w:pPr>
      <w:bookmarkStart w:id="19" w:name="_Toc7438"/>
      <w:bookmarkStart w:id="20" w:name="_Toc4149"/>
      <w:r>
        <w:rPr>
          <w:rFonts w:hint="eastAsia" w:cs="Times New Roman"/>
          <w:color w:val="auto"/>
          <w:highlight w:val="none"/>
        </w:rPr>
        <w:t>五、投标文件的递交</w:t>
      </w:r>
      <w:bookmarkEnd w:id="19"/>
      <w:bookmarkEnd w:id="20"/>
    </w:p>
    <w:p w14:paraId="24BD1C77">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1、投标文件递交的截止时间（投标截止时间）为202</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18</w:t>
      </w:r>
      <w:r>
        <w:rPr>
          <w:rFonts w:hint="eastAsia" w:ascii="仿宋" w:hAnsi="仿宋" w:eastAsia="仿宋" w:cs="仿宋"/>
          <w:bCs/>
          <w:color w:val="auto"/>
          <w:sz w:val="24"/>
          <w:highlight w:val="none"/>
        </w:rPr>
        <w:t>日</w:t>
      </w: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时</w:t>
      </w:r>
      <w:r>
        <w:rPr>
          <w:rFonts w:hint="eastAsia" w:ascii="仿宋" w:hAnsi="仿宋" w:eastAsia="仿宋" w:cs="仿宋"/>
          <w:bCs/>
          <w:color w:val="auto"/>
          <w:sz w:val="24"/>
          <w:highlight w:val="none"/>
          <w:lang w:val="en-US" w:eastAsia="zh-CN"/>
        </w:rPr>
        <w:t>30</w:t>
      </w:r>
      <w:r>
        <w:rPr>
          <w:rFonts w:hint="eastAsia" w:ascii="仿宋" w:hAnsi="仿宋" w:eastAsia="仿宋" w:cs="仿宋"/>
          <w:bCs/>
          <w:color w:val="auto"/>
          <w:sz w:val="24"/>
          <w:highlight w:val="none"/>
        </w:rPr>
        <w:t>分(北京时间)。</w:t>
      </w:r>
    </w:p>
    <w:p w14:paraId="6914C58A">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2、投标文件接收地点及开标地点为</w:t>
      </w:r>
      <w:r>
        <w:rPr>
          <w:rFonts w:hint="eastAsia" w:ascii="仿宋" w:hAnsi="仿宋" w:eastAsia="仿宋" w:cs="仿宋"/>
          <w:bCs/>
          <w:color w:val="auto"/>
          <w:sz w:val="24"/>
          <w:highlight w:val="none"/>
          <w:lang w:val="en-US" w:eastAsia="zh-CN"/>
        </w:rPr>
        <w:t>嵩县公共资源交易中心开标二室（嵩县）</w:t>
      </w:r>
      <w:r>
        <w:rPr>
          <w:rFonts w:hint="eastAsia" w:ascii="仿宋" w:hAnsi="仿宋" w:eastAsia="仿宋" w:cs="仿宋"/>
          <w:bCs/>
          <w:color w:val="auto"/>
          <w:sz w:val="24"/>
          <w:highlight w:val="none"/>
        </w:rPr>
        <w:t>。</w:t>
      </w:r>
    </w:p>
    <w:p w14:paraId="0479EC6E">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投标人应在投标截止时间前，通过互联网使用CA数字证书或移动CA扫码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p>
    <w:p w14:paraId="0D35DA4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本项目采用远程不见面交易的模式，开标当日，投标人无需到开标现场参加开标会议，投标人应当在投标截止时间前，访问到http://61.54.85.189/BidOpening进入，在线准时参加开标活动并进行投标文件解密等。因投标人原因未能解密、解密失败或解密超时的将被拒绝。</w:t>
      </w:r>
      <w:r>
        <w:rPr>
          <w:rFonts w:hint="eastAsia" w:ascii="仿宋" w:hAnsi="仿宋" w:eastAsia="仿宋" w:cs="仿宋"/>
          <w:bCs/>
          <w:color w:val="auto"/>
          <w:sz w:val="24"/>
          <w:highlight w:val="none"/>
          <w:lang w:val="en-US" w:eastAsia="zh-CN"/>
        </w:rPr>
        <w:t>请参照洛阳市公共资源交易中心首页-办事指南-下载中心-新交易平台使用手册。</w:t>
      </w:r>
    </w:p>
    <w:p w14:paraId="07ACB7D0">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5、除电子投标文件外，投标时不再接受任何纸质文件、资料等。逾期送达的或者未送达指定地点的投标文件，招标人不予受理。</w:t>
      </w:r>
    </w:p>
    <w:p w14:paraId="7900C462">
      <w:pPr>
        <w:pStyle w:val="3"/>
        <w:spacing w:before="159" w:line="240" w:lineRule="auto"/>
        <w:ind w:firstLineChars="0"/>
        <w:rPr>
          <w:rFonts w:hint="eastAsia" w:ascii="Arial" w:hAnsi="Arial" w:eastAsia="仿宋" w:cs="Times New Roman"/>
          <w:bCs/>
          <w:color w:val="auto"/>
          <w:sz w:val="24"/>
          <w:highlight w:val="none"/>
        </w:rPr>
      </w:pPr>
      <w:bookmarkStart w:id="21" w:name="_Toc20423"/>
      <w:r>
        <w:rPr>
          <w:rFonts w:hint="eastAsia" w:ascii="Arial" w:hAnsi="Arial" w:eastAsia="仿宋" w:cs="Times New Roman"/>
          <w:bCs/>
          <w:color w:val="auto"/>
          <w:sz w:val="24"/>
          <w:highlight w:val="none"/>
        </w:rPr>
        <w:t>六、投标保证金缴纳</w:t>
      </w:r>
      <w:bookmarkEnd w:id="21"/>
    </w:p>
    <w:p w14:paraId="0475A7C0">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执行洛发改公管〔2021〕2号规定。可采用银行保函、保险保单、担保保函、银行汇款等方式缴纳。其中政府投资的建设工程有关服务和货物招标项目免缴投标保证金。</w:t>
      </w:r>
    </w:p>
    <w:p w14:paraId="54BFC4D3">
      <w:pPr>
        <w:pStyle w:val="3"/>
        <w:spacing w:before="159"/>
        <w:rPr>
          <w:rFonts w:hint="eastAsia" w:ascii="Arial" w:hAnsi="Arial" w:eastAsia="仿宋" w:cs="Times New Roman"/>
          <w:bCs/>
          <w:color w:val="auto"/>
          <w:sz w:val="24"/>
          <w:highlight w:val="none"/>
        </w:rPr>
      </w:pPr>
      <w:bookmarkStart w:id="22" w:name="_Toc5274"/>
      <w:r>
        <w:rPr>
          <w:rFonts w:hint="eastAsia" w:ascii="Arial" w:hAnsi="Arial" w:eastAsia="仿宋" w:cs="Times New Roman"/>
          <w:bCs/>
          <w:color w:val="auto"/>
          <w:sz w:val="24"/>
          <w:highlight w:val="none"/>
        </w:rPr>
        <w:t>七、提出异议的渠道和方式</w:t>
      </w:r>
      <w:bookmarkEnd w:id="22"/>
    </w:p>
    <w:p w14:paraId="48165E4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异议。投标人或者其他利害关系人对资格预审文件、招标文件、开标和评标结果有异议的，通过公共资源交易平台向招标人提出异议。</w:t>
      </w:r>
    </w:p>
    <w:p w14:paraId="1E7581E6">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投诉。投标人或者其他利害关系人对招标投标活动需要投诉的，可以自知道或者应当知道之日起10日内，通过公共资源交易平台投诉或者直接向招标公告上公布的监管部门投诉。</w:t>
      </w:r>
    </w:p>
    <w:p w14:paraId="42474225">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注：投诉应当有明确的请求和必要的证明材料。对资格预审文件、招标文件、开标和评标结果的的投诉，应当先向招标人提出异议，异议答复期间不计算在10日内。行政监督部门自收到投诉之日起3个工作日内决定是否受理投诉，自受理投诉之日起30个工作日内作出书面处理决定。</w:t>
      </w:r>
    </w:p>
    <w:p w14:paraId="18AE7290">
      <w:pPr>
        <w:pStyle w:val="3"/>
        <w:spacing w:before="159"/>
        <w:rPr>
          <w:rFonts w:hint="eastAsia" w:ascii="Arial" w:hAnsi="Arial" w:eastAsia="仿宋" w:cs="Times New Roman"/>
          <w:bCs/>
          <w:color w:val="auto"/>
          <w:sz w:val="24"/>
          <w:highlight w:val="none"/>
        </w:rPr>
      </w:pPr>
      <w:bookmarkStart w:id="23" w:name="_Toc3385"/>
      <w:r>
        <w:rPr>
          <w:rFonts w:hint="eastAsia" w:ascii="Arial" w:hAnsi="Arial" w:eastAsia="仿宋" w:cs="Times New Roman"/>
          <w:bCs/>
          <w:color w:val="auto"/>
          <w:sz w:val="24"/>
          <w:highlight w:val="none"/>
        </w:rPr>
        <w:t>八、中标通知书发放</w:t>
      </w:r>
      <w:bookmarkEnd w:id="23"/>
    </w:p>
    <w:p w14:paraId="6ED6C52D">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通过公共资源交易平台以数据电文形式向中标人发出中标通知书，向未中标人发出中标结果通知。</w:t>
      </w:r>
    </w:p>
    <w:p w14:paraId="7F675249">
      <w:pPr>
        <w:pStyle w:val="3"/>
        <w:spacing w:before="159"/>
        <w:rPr>
          <w:rFonts w:hint="eastAsia" w:ascii="Arial" w:hAnsi="Arial" w:eastAsia="仿宋" w:cs="Times New Roman"/>
          <w:bCs/>
          <w:color w:val="auto"/>
          <w:sz w:val="24"/>
          <w:highlight w:val="none"/>
        </w:rPr>
      </w:pPr>
      <w:bookmarkStart w:id="24" w:name="_Toc6411"/>
      <w:r>
        <w:rPr>
          <w:rFonts w:hint="eastAsia" w:ascii="Arial" w:hAnsi="Arial" w:eastAsia="仿宋" w:cs="Times New Roman"/>
          <w:bCs/>
          <w:color w:val="auto"/>
          <w:sz w:val="24"/>
          <w:highlight w:val="none"/>
        </w:rPr>
        <w:t>九、签订合同</w:t>
      </w:r>
      <w:bookmarkEnd w:id="24"/>
    </w:p>
    <w:p w14:paraId="6E7A0648">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招标人通过公共资源交易平台凭电子印章以数据电文形式与中标人签订合同。</w:t>
      </w:r>
    </w:p>
    <w:p w14:paraId="1265C3C8">
      <w:pPr>
        <w:pStyle w:val="3"/>
        <w:spacing w:before="159"/>
        <w:rPr>
          <w:rFonts w:hint="eastAsia" w:cs="Times New Roman"/>
          <w:color w:val="auto"/>
          <w:highlight w:val="none"/>
        </w:rPr>
      </w:pPr>
      <w:bookmarkStart w:id="25" w:name="_Toc10860"/>
      <w:bookmarkStart w:id="26" w:name="_Toc29626"/>
      <w:r>
        <w:rPr>
          <w:rFonts w:hint="eastAsia" w:cs="Times New Roman"/>
          <w:color w:val="auto"/>
          <w:highlight w:val="none"/>
          <w:lang w:val="en-US" w:eastAsia="zh-CN"/>
        </w:rPr>
        <w:t>十</w:t>
      </w:r>
      <w:r>
        <w:rPr>
          <w:rFonts w:hint="eastAsia" w:cs="Times New Roman"/>
          <w:color w:val="auto"/>
          <w:highlight w:val="none"/>
        </w:rPr>
        <w:t>、发布公告的媒介</w:t>
      </w:r>
      <w:bookmarkEnd w:id="25"/>
      <w:bookmarkEnd w:id="26"/>
    </w:p>
    <w:p w14:paraId="009526D0">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1.本次招标公告同时在</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中国招标投标公共服务平台</w:t>
      </w:r>
      <w:r>
        <w:rPr>
          <w:rFonts w:hint="eastAsia" w:ascii="仿宋" w:hAnsi="仿宋" w:eastAsia="仿宋" w:cs="仿宋"/>
          <w:bCs/>
          <w:color w:val="auto"/>
          <w:sz w:val="24"/>
          <w:highlight w:val="none"/>
          <w:lang w:eastAsia="zh-CN"/>
        </w:rPr>
        <w:t>》《河南省政府采购网》《</w:t>
      </w:r>
      <w:r>
        <w:rPr>
          <w:rFonts w:hint="eastAsia" w:ascii="仿宋" w:hAnsi="仿宋" w:eastAsia="仿宋" w:cs="仿宋"/>
          <w:bCs/>
          <w:color w:val="auto"/>
          <w:sz w:val="24"/>
          <w:highlight w:val="none"/>
          <w:lang w:val="en-US" w:eastAsia="zh-CN"/>
        </w:rPr>
        <w:t>洛阳市</w:t>
      </w:r>
      <w:r>
        <w:rPr>
          <w:rFonts w:hint="eastAsia" w:ascii="仿宋" w:hAnsi="仿宋" w:eastAsia="仿宋" w:cs="仿宋"/>
          <w:bCs/>
          <w:color w:val="auto"/>
          <w:sz w:val="24"/>
          <w:highlight w:val="none"/>
          <w:lang w:eastAsia="zh-CN"/>
        </w:rPr>
        <w:t>政府采购网》</w:t>
      </w:r>
      <w:r>
        <w:rPr>
          <w:rFonts w:hint="eastAsia" w:ascii="仿宋" w:hAnsi="仿宋" w:eastAsia="仿宋" w:cs="仿宋"/>
          <w:bCs/>
          <w:color w:val="auto"/>
          <w:sz w:val="24"/>
          <w:highlight w:val="none"/>
        </w:rPr>
        <w:t>《洛阳市公共资源交易中心网》上发布。</w:t>
      </w:r>
    </w:p>
    <w:p w14:paraId="322BA831">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2.投标人在参与本项目招标采购活动期间应及时关注</w:t>
      </w:r>
      <w:r>
        <w:rPr>
          <w:rFonts w:hint="eastAsia" w:ascii="仿宋" w:hAnsi="仿宋" w:eastAsia="仿宋" w:cs="仿宋"/>
          <w:bCs/>
          <w:color w:val="auto"/>
          <w:sz w:val="24"/>
          <w:highlight w:val="none"/>
          <w:lang w:val="en-US" w:eastAsia="zh-CN"/>
        </w:rPr>
        <w:t>本</w:t>
      </w:r>
      <w:r>
        <w:rPr>
          <w:rFonts w:hint="eastAsia" w:ascii="仿宋" w:hAnsi="仿宋" w:eastAsia="仿宋" w:cs="仿宋"/>
          <w:bCs/>
          <w:color w:val="auto"/>
          <w:sz w:val="24"/>
          <w:highlight w:val="none"/>
        </w:rPr>
        <w:t>网站获取相关澄清或变更等信息。</w:t>
      </w:r>
    </w:p>
    <w:p w14:paraId="28025ACB">
      <w:pPr>
        <w:pStyle w:val="3"/>
        <w:spacing w:before="159"/>
        <w:rPr>
          <w:rFonts w:hint="eastAsia" w:cs="Times New Roman"/>
          <w:color w:val="auto"/>
          <w:highlight w:val="none"/>
        </w:rPr>
      </w:pPr>
      <w:bookmarkStart w:id="27" w:name="_Toc2987"/>
      <w:bookmarkStart w:id="28" w:name="_Toc16145"/>
      <w:r>
        <w:rPr>
          <w:rFonts w:hint="eastAsia" w:cs="Times New Roman"/>
          <w:color w:val="auto"/>
          <w:highlight w:val="none"/>
          <w:lang w:val="en-US" w:eastAsia="zh-CN"/>
        </w:rPr>
        <w:t>十一</w:t>
      </w:r>
      <w:r>
        <w:rPr>
          <w:rFonts w:hint="eastAsia" w:cs="Times New Roman"/>
          <w:color w:val="auto"/>
          <w:highlight w:val="none"/>
        </w:rPr>
        <w:t>、联系方式</w:t>
      </w:r>
      <w:bookmarkEnd w:id="27"/>
      <w:bookmarkEnd w:id="28"/>
    </w:p>
    <w:bookmarkEnd w:id="9"/>
    <w:p w14:paraId="38CC718E">
      <w:pPr>
        <w:spacing w:line="360" w:lineRule="auto"/>
        <w:ind w:firstLine="480" w:firstLineChars="200"/>
        <w:rPr>
          <w:rFonts w:hint="eastAsia" w:ascii="仿宋" w:hAnsi="仿宋" w:eastAsia="仿宋" w:cs="仿宋"/>
          <w:bCs/>
          <w:color w:val="auto"/>
          <w:sz w:val="24"/>
          <w:highlight w:val="none"/>
        </w:rPr>
      </w:pPr>
      <w:bookmarkStart w:id="29" w:name="_Toc144974495"/>
      <w:bookmarkStart w:id="30" w:name="_Toc152045527"/>
      <w:bookmarkStart w:id="31" w:name="_Toc152042303"/>
      <w:r>
        <w:rPr>
          <w:rFonts w:hint="eastAsia" w:ascii="仿宋" w:hAnsi="仿宋" w:eastAsia="仿宋" w:cs="仿宋"/>
          <w:bCs/>
          <w:color w:val="auto"/>
          <w:sz w:val="24"/>
          <w:highlight w:val="none"/>
        </w:rPr>
        <w:t>招 标 人：</w:t>
      </w:r>
      <w:r>
        <w:rPr>
          <w:rFonts w:hint="eastAsia" w:ascii="仿宋" w:hAnsi="仿宋" w:eastAsia="仿宋" w:cs="仿宋"/>
          <w:bCs/>
          <w:color w:val="auto"/>
          <w:sz w:val="24"/>
          <w:highlight w:val="none"/>
          <w:lang w:val="en-US" w:eastAsia="zh-CN"/>
        </w:rPr>
        <w:t>嵩县农业农村局</w:t>
      </w:r>
    </w:p>
    <w:p w14:paraId="266FFFAC">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地    址：</w:t>
      </w:r>
      <w:r>
        <w:rPr>
          <w:rFonts w:hint="eastAsia" w:ascii="仿宋" w:hAnsi="仿宋" w:eastAsia="仿宋" w:cs="仿宋"/>
          <w:bCs/>
          <w:color w:val="auto"/>
          <w:sz w:val="24"/>
          <w:highlight w:val="none"/>
          <w:lang w:val="en-US" w:eastAsia="zh-CN"/>
        </w:rPr>
        <w:t>洛阳市嵩县</w:t>
      </w:r>
    </w:p>
    <w:p w14:paraId="31EFD6E7">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联 系 人：</w:t>
      </w:r>
      <w:r>
        <w:rPr>
          <w:rFonts w:hint="eastAsia" w:ascii="仿宋" w:hAnsi="仿宋" w:eastAsia="仿宋" w:cs="仿宋"/>
          <w:bCs/>
          <w:color w:val="auto"/>
          <w:sz w:val="24"/>
          <w:highlight w:val="none"/>
          <w:lang w:val="en-US" w:eastAsia="zh-CN"/>
        </w:rPr>
        <w:t>黄先生</w:t>
      </w:r>
    </w:p>
    <w:p w14:paraId="043F6940">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电    话：</w:t>
      </w:r>
      <w:r>
        <w:rPr>
          <w:rFonts w:hint="eastAsia" w:ascii="仿宋" w:hAnsi="仿宋" w:eastAsia="仿宋" w:cs="仿宋"/>
          <w:bCs/>
          <w:color w:val="auto"/>
          <w:sz w:val="24"/>
          <w:highlight w:val="none"/>
          <w:lang w:val="en-US" w:eastAsia="zh-CN"/>
        </w:rPr>
        <w:t>0379-66333589</w:t>
      </w:r>
    </w:p>
    <w:p w14:paraId="09AEE71F">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代理机构：东虹建设工程招标代理有限公司</w:t>
      </w:r>
    </w:p>
    <w:p w14:paraId="13DF96BB">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地    址：</w:t>
      </w:r>
      <w:bookmarkStart w:id="32" w:name="EB79c79e8a0acd49da965288290a63e860"/>
      <w:r>
        <w:rPr>
          <w:rFonts w:hint="eastAsia" w:ascii="仿宋" w:hAnsi="仿宋" w:eastAsia="仿宋" w:cs="仿宋"/>
          <w:bCs/>
          <w:color w:val="auto"/>
          <w:sz w:val="24"/>
          <w:highlight w:val="none"/>
        </w:rPr>
        <w:t>洛阳市西工区芳林南路36号芳林大厦1号楼22层</w:t>
      </w:r>
      <w:bookmarkEnd w:id="32"/>
    </w:p>
    <w:p w14:paraId="082A813B">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 系 人：</w:t>
      </w:r>
      <w:r>
        <w:rPr>
          <w:rFonts w:hint="eastAsia" w:ascii="仿宋" w:hAnsi="仿宋" w:eastAsia="仿宋" w:cs="仿宋"/>
          <w:bCs/>
          <w:color w:val="auto"/>
          <w:sz w:val="24"/>
          <w:highlight w:val="none"/>
          <w:lang w:val="en-US" w:eastAsia="zh-CN"/>
        </w:rPr>
        <w:t>张先生</w:t>
      </w:r>
    </w:p>
    <w:p w14:paraId="621E7929">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联系方式：</w:t>
      </w:r>
      <w:r>
        <w:rPr>
          <w:rFonts w:hint="eastAsia" w:ascii="仿宋" w:hAnsi="仿宋" w:eastAsia="仿宋" w:cs="仿宋"/>
          <w:bCs/>
          <w:color w:val="auto"/>
          <w:sz w:val="24"/>
          <w:highlight w:val="none"/>
          <w:lang w:eastAsia="zh-CN"/>
        </w:rPr>
        <w:t>0379-63333611</w:t>
      </w:r>
    </w:p>
    <w:p w14:paraId="14A5D6BC">
      <w:pPr>
        <w:spacing w:line="360" w:lineRule="auto"/>
        <w:ind w:firstLine="480" w:firstLineChars="200"/>
        <w:jc w:val="both"/>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监管部门：</w:t>
      </w:r>
      <w:r>
        <w:rPr>
          <w:rFonts w:hint="eastAsia" w:ascii="仿宋" w:hAnsi="仿宋" w:eastAsia="仿宋" w:cs="仿宋"/>
          <w:bCs/>
          <w:color w:val="auto"/>
          <w:sz w:val="24"/>
          <w:highlight w:val="none"/>
          <w:lang w:val="en-US" w:eastAsia="zh-CN"/>
        </w:rPr>
        <w:t>嵩县农业农村局</w:t>
      </w:r>
    </w:p>
    <w:p w14:paraId="2FD43FA7">
      <w:pPr>
        <w:spacing w:line="360" w:lineRule="auto"/>
        <w:ind w:firstLine="480" w:firstLineChars="200"/>
        <w:jc w:val="both"/>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监管部门联系人：</w:t>
      </w:r>
      <w:r>
        <w:rPr>
          <w:rFonts w:hint="eastAsia" w:ascii="仿宋" w:hAnsi="仿宋" w:eastAsia="仿宋" w:cs="仿宋"/>
          <w:bCs/>
          <w:color w:val="auto"/>
          <w:sz w:val="24"/>
          <w:highlight w:val="none"/>
          <w:lang w:val="en-US" w:eastAsia="zh-CN"/>
        </w:rPr>
        <w:t>嵩县农业农村局</w:t>
      </w:r>
    </w:p>
    <w:p w14:paraId="40788763">
      <w:pPr>
        <w:spacing w:line="360" w:lineRule="auto"/>
        <w:ind w:firstLine="480" w:firstLineChars="200"/>
        <w:jc w:val="both"/>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监管部门联系方式：</w:t>
      </w:r>
      <w:r>
        <w:rPr>
          <w:rFonts w:hint="eastAsia" w:ascii="仿宋" w:hAnsi="仿宋" w:eastAsia="仿宋" w:cs="仿宋"/>
          <w:bCs/>
          <w:color w:val="auto"/>
          <w:sz w:val="24"/>
          <w:highlight w:val="none"/>
          <w:lang w:val="en-US" w:eastAsia="zh-CN"/>
        </w:rPr>
        <w:t>0379-66311946</w:t>
      </w:r>
    </w:p>
    <w:p w14:paraId="1E8CA722">
      <w:pPr>
        <w:spacing w:line="360" w:lineRule="auto"/>
        <w:ind w:firstLine="480" w:firstLineChars="200"/>
        <w:jc w:val="righ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202</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28</w:t>
      </w:r>
      <w:r>
        <w:rPr>
          <w:rFonts w:hint="eastAsia" w:ascii="仿宋" w:hAnsi="仿宋" w:eastAsia="仿宋" w:cs="仿宋"/>
          <w:bCs/>
          <w:color w:val="auto"/>
          <w:sz w:val="24"/>
          <w:highlight w:val="none"/>
        </w:rPr>
        <w:t>日</w:t>
      </w:r>
    </w:p>
    <w:bookmarkEnd w:id="10"/>
    <w:p w14:paraId="02C0AA4B">
      <w:pPr>
        <w:pStyle w:val="2"/>
        <w:keepNext w:val="0"/>
        <w:keepLines w:val="0"/>
        <w:spacing w:after="120" w:line="24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bookmarkStart w:id="33" w:name="_Toc23639"/>
      <w:bookmarkStart w:id="34" w:name="_Toc9357"/>
      <w:r>
        <w:rPr>
          <w:rFonts w:hint="eastAsia" w:ascii="仿宋" w:hAnsi="仿宋" w:eastAsia="仿宋" w:cs="仿宋"/>
          <w:color w:val="auto"/>
          <w:sz w:val="32"/>
          <w:szCs w:val="32"/>
          <w:highlight w:val="none"/>
        </w:rPr>
        <w:t>第二章 投标人须知</w:t>
      </w:r>
      <w:bookmarkEnd w:id="29"/>
      <w:bookmarkEnd w:id="30"/>
      <w:bookmarkEnd w:id="31"/>
      <w:bookmarkEnd w:id="33"/>
      <w:bookmarkEnd w:id="34"/>
    </w:p>
    <w:p w14:paraId="4FA9426E">
      <w:pPr>
        <w:pStyle w:val="35"/>
        <w:spacing w:before="159"/>
        <w:jc w:val="center"/>
        <w:rPr>
          <w:rFonts w:hint="eastAsia" w:ascii="仿宋" w:hAnsi="仿宋" w:cs="仿宋"/>
          <w:color w:val="auto"/>
          <w:sz w:val="24"/>
          <w:szCs w:val="18"/>
          <w:highlight w:val="none"/>
        </w:rPr>
      </w:pPr>
      <w:bookmarkStart w:id="35" w:name="_Toc152045528"/>
      <w:bookmarkStart w:id="36" w:name="_Toc1809"/>
      <w:bookmarkStart w:id="37" w:name="_Toc28088"/>
      <w:bookmarkStart w:id="38" w:name="_Toc152042304"/>
      <w:bookmarkStart w:id="39" w:name="_Toc144974496"/>
      <w:r>
        <w:rPr>
          <w:rFonts w:hint="eastAsia" w:ascii="仿宋" w:hAnsi="仿宋" w:cs="仿宋"/>
          <w:b/>
          <w:bCs/>
          <w:color w:val="auto"/>
          <w:sz w:val="28"/>
          <w:szCs w:val="20"/>
          <w:highlight w:val="none"/>
        </w:rPr>
        <w:t>投标人须知前附表</w:t>
      </w:r>
      <w:bookmarkEnd w:id="35"/>
      <w:bookmarkEnd w:id="36"/>
      <w:bookmarkEnd w:id="37"/>
      <w:bookmarkEnd w:id="38"/>
      <w:bookmarkEnd w:id="39"/>
    </w:p>
    <w:tbl>
      <w:tblPr>
        <w:tblStyle w:val="26"/>
        <w:tblW w:w="8826" w:type="dxa"/>
        <w:tblInd w:w="0" w:type="dxa"/>
        <w:tblLayout w:type="fixed"/>
        <w:tblCellMar>
          <w:top w:w="0" w:type="dxa"/>
          <w:left w:w="108" w:type="dxa"/>
          <w:bottom w:w="0" w:type="dxa"/>
          <w:right w:w="108" w:type="dxa"/>
        </w:tblCellMar>
      </w:tblPr>
      <w:tblGrid>
        <w:gridCol w:w="959"/>
        <w:gridCol w:w="2047"/>
        <w:gridCol w:w="5820"/>
      </w:tblGrid>
      <w:tr w14:paraId="597F2A08">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C40E2AA">
            <w:pPr>
              <w:adjustRightInd w:val="0"/>
              <w:spacing w:line="44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1F8AED2">
            <w:pPr>
              <w:adjustRightInd w:val="0"/>
              <w:spacing w:line="44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  款  名  称</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56451F8">
            <w:pPr>
              <w:adjustRightInd w:val="0"/>
              <w:spacing w:line="44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编  列  内  容</w:t>
            </w:r>
          </w:p>
        </w:tc>
      </w:tr>
      <w:tr w14:paraId="48070335">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3F5E5A1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89EC69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6E1BA3CF">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bCs/>
                <w:color w:val="auto"/>
                <w:sz w:val="24"/>
                <w:highlight w:val="none"/>
                <w:lang w:val="en-US" w:eastAsia="zh-CN"/>
              </w:rPr>
              <w:t>嵩县农业农村局</w:t>
            </w:r>
          </w:p>
          <w:p w14:paraId="0DB7D154">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bCs/>
                <w:color w:val="auto"/>
                <w:sz w:val="24"/>
                <w:highlight w:val="none"/>
                <w:lang w:val="en-US" w:eastAsia="zh-CN"/>
              </w:rPr>
              <w:t>洛阳市嵩县</w:t>
            </w:r>
          </w:p>
          <w:p w14:paraId="2A5ABFD3">
            <w:pPr>
              <w:adjustRightInd w:val="0"/>
              <w:spacing w:line="440" w:lineRule="exac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黄先生</w:t>
            </w:r>
          </w:p>
          <w:p w14:paraId="3B613FC6">
            <w:pPr>
              <w:adjustRightInd w:val="0"/>
              <w:spacing w:line="440" w:lineRule="exact"/>
              <w:textAlignment w:val="baseline"/>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lang w:val="en-US" w:eastAsia="zh-CN"/>
              </w:rPr>
              <w:t>0379-66333589</w:t>
            </w:r>
          </w:p>
        </w:tc>
      </w:tr>
      <w:tr w14:paraId="1876AB26">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F9935D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6CA56B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招标代理机构</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4E0DF68">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名称：东虹建设工程招标代理有限公司</w:t>
            </w:r>
          </w:p>
          <w:p w14:paraId="07F370AD">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bCs/>
                <w:color w:val="auto"/>
                <w:sz w:val="24"/>
                <w:highlight w:val="none"/>
              </w:rPr>
              <w:t>洛阳市芳林南路芳林大厦220</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室</w:t>
            </w:r>
          </w:p>
          <w:p w14:paraId="17B7EED0">
            <w:pPr>
              <w:adjustRightInd w:val="0"/>
              <w:spacing w:line="440" w:lineRule="exac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张先生</w:t>
            </w:r>
          </w:p>
          <w:p w14:paraId="4921DB8C">
            <w:pPr>
              <w:adjustRightInd w:val="0"/>
              <w:spacing w:line="440" w:lineRule="exac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电话：</w:t>
            </w:r>
            <w:r>
              <w:rPr>
                <w:rFonts w:hint="eastAsia" w:ascii="仿宋" w:hAnsi="仿宋" w:eastAsia="仿宋" w:cs="仿宋"/>
                <w:bCs/>
                <w:color w:val="auto"/>
                <w:sz w:val="24"/>
                <w:highlight w:val="none"/>
                <w:lang w:eastAsia="zh-CN"/>
              </w:rPr>
              <w:t>0379-63333611</w:t>
            </w:r>
          </w:p>
          <w:p w14:paraId="48D6B1DF">
            <w:pPr>
              <w:adjustRightInd w:val="0"/>
              <w:spacing w:line="440" w:lineRule="exac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邮箱：</w:t>
            </w:r>
            <w:r>
              <w:rPr>
                <w:rFonts w:hint="eastAsia" w:ascii="仿宋" w:hAnsi="仿宋" w:eastAsia="仿宋" w:cs="仿宋"/>
                <w:color w:val="auto"/>
                <w:sz w:val="24"/>
                <w:highlight w:val="none"/>
                <w:lang w:eastAsia="zh-CN"/>
              </w:rPr>
              <w:t>donghong_08@163.com</w:t>
            </w:r>
          </w:p>
        </w:tc>
      </w:tr>
      <w:tr w14:paraId="4E5A6AEC">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14F031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F2BD6C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6452F8D">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嵩县农业农村局2025年嵩县大坪乡0.5万亩高标准农田建设项目</w:t>
            </w:r>
          </w:p>
        </w:tc>
      </w:tr>
      <w:tr w14:paraId="78B40047">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A734344">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1.1.5</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AA5B1C4">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落实政府采购政策要求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4177BBF">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项目一标段、二标段支持中小（监狱企业、残疾人福利性单位视同小型、微型企业）企业采购，节约能源，保护环境，落实绿色建筑、绿色建材，支持不发达、少数民族地区的企业，促进自主创新产业发展。</w:t>
            </w:r>
          </w:p>
          <w:p w14:paraId="2D8D7F78">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对符合规定的小微企业在采用原报价进行评分的基础上增加其价格得分的5%作为其价格分，若为联合体投标，联合体各方须均为小微企业，联合体视同小微企业；计算公式：小微企业扶持政策得分=采用原投标报价评审得分×5%。</w:t>
            </w:r>
          </w:p>
          <w:p w14:paraId="12667583">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（3）合同分包给大中型企业，中型企业不得将合同分包给大型企业；</w:t>
            </w:r>
          </w:p>
          <w:p w14:paraId="3EB93CF9">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（4）本项目一标段、二标段对应的中小企业划分标准所属行业为：建筑业。</w:t>
            </w:r>
          </w:p>
          <w:p w14:paraId="67F8C3AF">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bookmarkStart w:id="40" w:name="_Toc29938"/>
            <w:r>
              <w:rPr>
                <w:rFonts w:hint="eastAsia" w:ascii="仿宋" w:hAnsi="仿宋" w:eastAsia="仿宋" w:cs="仿宋"/>
                <w:color w:val="auto"/>
                <w:sz w:val="24"/>
                <w:szCs w:val="24"/>
                <w:highlight w:val="none"/>
                <w:lang w:val="en-US" w:eastAsia="zh-CN"/>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bookmarkEnd w:id="40"/>
          </w:p>
          <w:p w14:paraId="5F32272B">
            <w:pPr>
              <w:pStyle w:val="44"/>
              <w:numPr>
                <w:ilvl w:val="0"/>
                <w:numId w:val="0"/>
              </w:numPr>
              <w:snapToGrid w:val="0"/>
              <w:spacing w:line="360" w:lineRule="auto"/>
              <w:jc w:val="left"/>
              <w:rPr>
                <w:rFonts w:hint="eastAsia" w:ascii="仿宋" w:hAnsi="仿宋" w:eastAsia="仿宋" w:cs="仿宋"/>
                <w:color w:val="auto"/>
                <w:sz w:val="24"/>
                <w:szCs w:val="24"/>
                <w:highlight w:val="none"/>
                <w:lang w:val="en-US" w:eastAsia="zh-CN"/>
              </w:rPr>
            </w:pPr>
            <w:bookmarkStart w:id="41" w:name="_Toc7300"/>
            <w:r>
              <w:rPr>
                <w:rFonts w:hint="eastAsia" w:ascii="仿宋" w:hAnsi="仿宋" w:eastAsia="仿宋" w:cs="仿宋"/>
                <w:color w:val="auto"/>
                <w:sz w:val="24"/>
                <w:szCs w:val="24"/>
                <w:highlight w:val="none"/>
                <w:lang w:val="en-US" w:eastAsia="zh-CN"/>
              </w:rPr>
              <w:t>（5）投标人应当根据企业自身的实际状况，审慎出具《中小企业声明函》或监狱企业或残疾人福利性单位证明材料，内容不实的，属于弄虚作假骗取中标，并承担相应的法律责任。</w:t>
            </w:r>
            <w:bookmarkEnd w:id="41"/>
          </w:p>
        </w:tc>
      </w:tr>
      <w:tr w14:paraId="0AC517C5">
        <w:tblPrEx>
          <w:tblCellMar>
            <w:top w:w="0" w:type="dxa"/>
            <w:left w:w="108" w:type="dxa"/>
            <w:bottom w:w="0" w:type="dxa"/>
            <w:right w:w="108" w:type="dxa"/>
          </w:tblCellMar>
        </w:tblPrEx>
        <w:trPr>
          <w:trHeight w:val="558"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97CCED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245B416">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资金来源及比例</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B0A541D">
            <w:pPr>
              <w:adjustRightInd w:val="0"/>
              <w:spacing w:line="440" w:lineRule="exac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lang w:eastAsia="zh-CN"/>
              </w:rPr>
              <w:t>财政资金</w:t>
            </w:r>
            <w:r>
              <w:rPr>
                <w:rFonts w:hint="eastAsia" w:ascii="仿宋" w:hAnsi="仿宋" w:eastAsia="仿宋" w:cs="仿宋"/>
                <w:color w:val="auto"/>
                <w:sz w:val="24"/>
                <w:highlight w:val="none"/>
              </w:rPr>
              <w:t>，100%</w:t>
            </w:r>
          </w:p>
        </w:tc>
      </w:tr>
      <w:tr w14:paraId="2604139F">
        <w:tblPrEx>
          <w:tblCellMar>
            <w:top w:w="0" w:type="dxa"/>
            <w:left w:w="108" w:type="dxa"/>
            <w:bottom w:w="0" w:type="dxa"/>
            <w:right w:w="108" w:type="dxa"/>
          </w:tblCellMar>
        </w:tblPrEx>
        <w:trPr>
          <w:trHeight w:val="552"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233E7E6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6ECA37E">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资金落实情况</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1D9AF695">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已落实</w:t>
            </w:r>
          </w:p>
        </w:tc>
      </w:tr>
      <w:tr w14:paraId="37F0C56E">
        <w:tblPrEx>
          <w:tblCellMar>
            <w:top w:w="0" w:type="dxa"/>
            <w:left w:w="108" w:type="dxa"/>
            <w:bottom w:w="0" w:type="dxa"/>
            <w:right w:w="108" w:type="dxa"/>
          </w:tblCellMar>
        </w:tblPrEx>
        <w:trPr>
          <w:trHeight w:val="56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55F312F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73B0989">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FD3A82D">
            <w:pPr>
              <w:adjustRightInd w:val="0"/>
              <w:spacing w:line="440" w:lineRule="exac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嵩政采公开-2025-72</w:t>
            </w:r>
          </w:p>
        </w:tc>
      </w:tr>
      <w:tr w14:paraId="4001EED6">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5A9D8CBB">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FBC356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招标范围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5613E66">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本项目招标文件、工程量清单、施工图纸及答疑（若有）范围内的全部内容。</w:t>
            </w:r>
          </w:p>
        </w:tc>
      </w:tr>
      <w:tr w14:paraId="2CDCDFF6">
        <w:tblPrEx>
          <w:tblCellMar>
            <w:top w:w="0" w:type="dxa"/>
            <w:left w:w="108" w:type="dxa"/>
            <w:bottom w:w="0" w:type="dxa"/>
            <w:right w:w="108" w:type="dxa"/>
          </w:tblCellMar>
        </w:tblPrEx>
        <w:trPr>
          <w:trHeight w:val="519"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CCA9BA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69A2980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工期</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0990DB1">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210</w:t>
            </w:r>
            <w:r>
              <w:rPr>
                <w:rFonts w:hint="eastAsia" w:ascii="仿宋" w:hAnsi="仿宋" w:eastAsia="仿宋" w:cs="仿宋"/>
                <w:color w:val="auto"/>
                <w:sz w:val="24"/>
                <w:highlight w:val="none"/>
              </w:rPr>
              <w:t>日历天。</w:t>
            </w:r>
          </w:p>
        </w:tc>
      </w:tr>
      <w:tr w14:paraId="542A98AD">
        <w:tblPrEx>
          <w:tblCellMar>
            <w:top w:w="0" w:type="dxa"/>
            <w:left w:w="108" w:type="dxa"/>
            <w:bottom w:w="0" w:type="dxa"/>
            <w:right w:w="108" w:type="dxa"/>
          </w:tblCellMar>
        </w:tblPrEx>
        <w:trPr>
          <w:trHeight w:val="519"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0DE116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EF3EFC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建设地点</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6F84029C">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洛阳市嵩县</w:t>
            </w:r>
            <w:r>
              <w:rPr>
                <w:rFonts w:hint="eastAsia" w:ascii="仿宋" w:hAnsi="仿宋" w:eastAsia="仿宋" w:cs="仿宋"/>
                <w:color w:val="auto"/>
                <w:sz w:val="24"/>
                <w:highlight w:val="none"/>
              </w:rPr>
              <w:t>。</w:t>
            </w:r>
          </w:p>
        </w:tc>
      </w:tr>
      <w:tr w14:paraId="13A9BAC6">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45477D0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5A5146A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质量标准</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A615BFA">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符合现行国家有关工程施工验收规范和标准的要求（合格）</w:t>
            </w:r>
          </w:p>
        </w:tc>
      </w:tr>
      <w:tr w14:paraId="02F9D8AB">
        <w:tblPrEx>
          <w:tblCellMar>
            <w:top w:w="0" w:type="dxa"/>
            <w:left w:w="108" w:type="dxa"/>
            <w:bottom w:w="0" w:type="dxa"/>
            <w:right w:w="108" w:type="dxa"/>
          </w:tblCellMar>
        </w:tblPrEx>
        <w:trPr>
          <w:trHeight w:val="569"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1173BFF">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1.3.5</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5C318044">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安全目标</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CB810D0">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杜绝重伤、死亡事故</w:t>
            </w:r>
          </w:p>
        </w:tc>
      </w:tr>
      <w:tr w14:paraId="2DE58212">
        <w:tblPrEx>
          <w:tblCellMar>
            <w:top w:w="0" w:type="dxa"/>
            <w:left w:w="108" w:type="dxa"/>
            <w:bottom w:w="0" w:type="dxa"/>
            <w:right w:w="108" w:type="dxa"/>
          </w:tblCellMar>
        </w:tblPrEx>
        <w:trPr>
          <w:trHeight w:val="569"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50A8117">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1.3.6</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532D4A26">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文明工地目标</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14C16A2">
            <w:pPr>
              <w:adjustRightInd w:val="0"/>
              <w:spacing w:line="440" w:lineRule="exac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市级文明工地</w:t>
            </w:r>
          </w:p>
        </w:tc>
      </w:tr>
      <w:tr w14:paraId="67084ACB">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22F271">
            <w:pPr>
              <w:adjustRightInd w:val="0"/>
              <w:spacing w:line="440" w:lineRule="exact"/>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1.3.7</w:t>
            </w:r>
          </w:p>
        </w:tc>
        <w:tc>
          <w:tcPr>
            <w:tcW w:w="2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95AC55">
            <w:pPr>
              <w:adjustRightInd w:val="0"/>
              <w:spacing w:line="440" w:lineRule="exact"/>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扬尘防治目标</w:t>
            </w:r>
          </w:p>
        </w:tc>
        <w:tc>
          <w:tcPr>
            <w:tcW w:w="5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1D418">
            <w:pPr>
              <w:adjustRightInd w:val="0"/>
              <w:spacing w:line="440" w:lineRule="exact"/>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严格按照国家、省、市扬尘污染防治标准及各项扬尘管控指令，做到达标生产</w:t>
            </w:r>
          </w:p>
        </w:tc>
      </w:tr>
      <w:tr w14:paraId="43C6CCED">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46A8A7E8">
            <w:pPr>
              <w:adjustRightInd w:val="0"/>
              <w:spacing w:line="440" w:lineRule="exact"/>
              <w:jc w:val="center"/>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8</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11862A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标段划分</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F3DD10E">
            <w:pPr>
              <w:spacing w:line="46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本项目共划分为</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个标段</w:t>
            </w:r>
            <w:r>
              <w:rPr>
                <w:rFonts w:hint="eastAsia" w:ascii="仿宋" w:hAnsi="仿宋" w:eastAsia="仿宋" w:cs="仿宋"/>
                <w:color w:val="auto"/>
                <w:sz w:val="24"/>
                <w:highlight w:val="none"/>
                <w:lang w:val="en-US" w:eastAsia="zh-CN"/>
              </w:rPr>
              <w:t>；</w:t>
            </w:r>
          </w:p>
          <w:p w14:paraId="189F5DD7">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嵩县农业农村局2025年嵩县大坪乡0.5万亩高标准农田建设项目一标段；</w:t>
            </w:r>
          </w:p>
          <w:p w14:paraId="70DE3D8B">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嵩县农业农村局2025年嵩县大坪乡0.5万亩高标准农田建设项目二标段。</w:t>
            </w:r>
          </w:p>
          <w:p w14:paraId="4456B443">
            <w:pPr>
              <w:spacing w:line="460" w:lineRule="exact"/>
              <w:rPr>
                <w:rFonts w:hint="eastAsia"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lang w:val="en-US" w:eastAsia="zh-CN" w:bidi="ar-SA"/>
              </w:rPr>
              <w:t>注：投标人可就一个标段进行完整投标，不得拆分，否则将不被接受。投标人可对两个标段同时投标，但最多只能中一个标段。</w:t>
            </w:r>
          </w:p>
        </w:tc>
      </w:tr>
      <w:tr w14:paraId="2E1F2C5B">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32EC3518">
            <w:pPr>
              <w:adjustRightInd w:val="0"/>
              <w:spacing w:line="440" w:lineRule="exact"/>
              <w:jc w:val="center"/>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9</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A0EDC0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kern w:val="1"/>
                <w:sz w:val="24"/>
                <w:highlight w:val="none"/>
              </w:rPr>
              <w:t>缺陷责任期</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70F6C12">
            <w:pPr>
              <w:pStyle w:val="36"/>
              <w:autoSpaceDE w:val="0"/>
              <w:spacing w:line="50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szCs w:val="28"/>
                <w:highlight w:val="none"/>
              </w:rPr>
              <w:t>24个月（自竣工验收合格之日起）</w:t>
            </w:r>
          </w:p>
        </w:tc>
      </w:tr>
      <w:tr w14:paraId="67942958">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4689D81">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10</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AF61CC1">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履约验收</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809A242">
            <w:pPr>
              <w:spacing w:line="4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招标人根据国家有关规定、招标文件、中标人的投标文件以及合同约定的内容和验收标准进行验收。验收情况作为支付货款的依据。</w:t>
            </w:r>
          </w:p>
        </w:tc>
      </w:tr>
      <w:tr w14:paraId="2E386CC9">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348FA79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1D02F64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投标人资质条件、能力和信誉</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5310DA4">
            <w:pPr>
              <w:spacing w:line="4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详见招标公告</w:t>
            </w:r>
          </w:p>
        </w:tc>
      </w:tr>
      <w:tr w14:paraId="2FBD638A">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AC2989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1E562F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是否接受联合体投标</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36CBA6D">
            <w:pPr>
              <w:pStyle w:val="12"/>
              <w:topLinePunct/>
              <w:adjustRightInd w:val="0"/>
              <w:spacing w:line="400" w:lineRule="exact"/>
              <w:textAlignment w:val="baseline"/>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不接受</w:t>
            </w:r>
          </w:p>
        </w:tc>
      </w:tr>
      <w:tr w14:paraId="7461E0E7">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20DC09C">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CEE2D26">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勘察现场</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6DCC97CE">
            <w:pPr>
              <w:pStyle w:val="12"/>
              <w:topLinePunct/>
              <w:adjustRightInd w:val="0"/>
              <w:spacing w:line="400" w:lineRule="exact"/>
              <w:textAlignment w:val="baseline"/>
              <w:rPr>
                <w:rFonts w:ascii="仿宋" w:hAnsi="仿宋" w:eastAsia="仿宋" w:cs="仿宋"/>
                <w:color w:val="auto"/>
                <w:szCs w:val="24"/>
                <w:highlight w:val="none"/>
              </w:rPr>
            </w:pPr>
            <w:r>
              <w:rPr>
                <w:rFonts w:ascii="仿宋" w:hAnsi="仿宋" w:eastAsia="仿宋" w:cs="仿宋"/>
                <w:color w:val="auto"/>
                <w:szCs w:val="24"/>
                <w:highlight w:val="none"/>
              </w:rPr>
              <w:t>不组织</w:t>
            </w:r>
          </w:p>
        </w:tc>
      </w:tr>
      <w:tr w14:paraId="143FB4BB">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35884DEB">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A6DA1FC">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投标预备会</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2FCDD3E">
            <w:pPr>
              <w:pStyle w:val="12"/>
              <w:topLinePunct/>
              <w:adjustRightInd w:val="0"/>
              <w:spacing w:line="400" w:lineRule="exact"/>
              <w:textAlignment w:val="baseline"/>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不召开</w:t>
            </w:r>
          </w:p>
        </w:tc>
      </w:tr>
      <w:tr w14:paraId="3E5B2B55">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B9DD7E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1A313D2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投标人提出问题的截止时间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790D0C4">
            <w:pPr>
              <w:adjustRightInd w:val="0"/>
              <w:spacing w:line="440" w:lineRule="exact"/>
              <w:jc w:val="left"/>
              <w:textAlignment w:val="baseline"/>
              <w:rPr>
                <w:rFonts w:hint="eastAsia" w:ascii="Times New Roman" w:hAnsi="Times New Roman" w:eastAsia="宋体" w:cs="Times New Roman"/>
                <w:color w:val="auto"/>
                <w:sz w:val="24"/>
                <w:highlight w:val="none"/>
              </w:rPr>
            </w:pPr>
            <w:r>
              <w:rPr>
                <w:rFonts w:hint="eastAsia" w:ascii="仿宋" w:hAnsi="仿宋" w:eastAsia="仿宋" w:cs="仿宋"/>
                <w:color w:val="auto"/>
                <w:sz w:val="24"/>
                <w:highlight w:val="none"/>
              </w:rPr>
              <w:t>递交投标文件截止时间10日前</w:t>
            </w:r>
          </w:p>
        </w:tc>
      </w:tr>
      <w:tr w14:paraId="5E60EE4D">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D39DA8C">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15CACF4">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招标人澄清的时间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1389D97">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递交投标文件截止时间15日前</w:t>
            </w:r>
          </w:p>
        </w:tc>
      </w:tr>
      <w:tr w14:paraId="4567AF1C">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5006D5D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1.10.1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39411E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分包</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6A870A49">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允许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分包内容要求：</w:t>
            </w:r>
          </w:p>
          <w:p w14:paraId="54F6901A">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（1）劳务分包</w:t>
            </w:r>
          </w:p>
          <w:p w14:paraId="5699092E">
            <w:pPr>
              <w:adjustRightInd w:val="0"/>
              <w:spacing w:line="440" w:lineRule="exact"/>
              <w:textAlignment w:val="baseline"/>
              <w:rPr>
                <w:rFonts w:hint="eastAsia" w:ascii="Times New Roman" w:hAnsi="Times New Roman" w:eastAsia="宋体" w:cs="Times New Roman"/>
                <w:color w:val="auto"/>
                <w:highlight w:val="none"/>
              </w:rPr>
            </w:pPr>
            <w:r>
              <w:rPr>
                <w:rFonts w:hint="eastAsia" w:ascii="仿宋" w:hAnsi="仿宋" w:eastAsia="仿宋" w:cs="仿宋"/>
                <w:color w:val="auto"/>
                <w:sz w:val="24"/>
                <w:highlight w:val="none"/>
              </w:rPr>
              <w:t>（2）经发包人同意，非主体、非关键性的专业工程接受分包，须依法分包给具有相应资质的单位，并不得再次分包。</w:t>
            </w:r>
          </w:p>
        </w:tc>
      </w:tr>
      <w:tr w14:paraId="712DE010">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01B3C43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1.11.1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EF36A2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实质性要求和条件</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D2FD7CA">
            <w:pPr>
              <w:pStyle w:val="12"/>
              <w:topLinePunct/>
              <w:adjustRightInd w:val="0"/>
              <w:spacing w:line="400" w:lineRule="exact"/>
              <w:textAlignment w:val="baseline"/>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工期；</w:t>
            </w:r>
          </w:p>
          <w:p w14:paraId="6B934ECD">
            <w:pPr>
              <w:pStyle w:val="12"/>
              <w:topLinePunct/>
              <w:adjustRightInd w:val="0"/>
              <w:spacing w:line="400" w:lineRule="exact"/>
              <w:textAlignment w:val="baseline"/>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质量标准；</w:t>
            </w:r>
          </w:p>
          <w:p w14:paraId="555D77E5">
            <w:pPr>
              <w:pStyle w:val="12"/>
              <w:topLinePunct/>
              <w:adjustRightInd w:val="0"/>
              <w:spacing w:line="400" w:lineRule="exact"/>
              <w:textAlignment w:val="baseline"/>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rPr>
              <w:t>安全目标</w:t>
            </w:r>
            <w:r>
              <w:rPr>
                <w:rFonts w:hint="eastAsia" w:ascii="仿宋" w:hAnsi="仿宋" w:eastAsia="仿宋" w:cs="仿宋"/>
                <w:b/>
                <w:bCs/>
                <w:color w:val="auto"/>
                <w:szCs w:val="24"/>
                <w:highlight w:val="none"/>
                <w:lang w:eastAsia="zh-CN"/>
              </w:rPr>
              <w:t>；</w:t>
            </w:r>
          </w:p>
          <w:p w14:paraId="77A14A45">
            <w:pPr>
              <w:pStyle w:val="12"/>
              <w:topLinePunct/>
              <w:adjustRightInd w:val="0"/>
              <w:spacing w:line="400" w:lineRule="exact"/>
              <w:textAlignment w:val="baseline"/>
              <w:rPr>
                <w:rFonts w:hint="default"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eastAsia="zh-CN"/>
              </w:rPr>
              <w:t>文明工地目标；</w:t>
            </w:r>
          </w:p>
          <w:p w14:paraId="08C4F1A0">
            <w:pPr>
              <w:pStyle w:val="12"/>
              <w:topLinePunct/>
              <w:adjustRightInd w:val="0"/>
              <w:spacing w:line="400" w:lineRule="exact"/>
              <w:textAlignment w:val="baseline"/>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rPr>
              <w:t>扬尘防治目标；</w:t>
            </w:r>
          </w:p>
          <w:p w14:paraId="1EAB5F43">
            <w:pPr>
              <w:pStyle w:val="12"/>
              <w:topLinePunct/>
              <w:adjustRightInd w:val="0"/>
              <w:spacing w:line="400" w:lineRule="exact"/>
              <w:textAlignment w:val="baseline"/>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缺陷责任期；</w:t>
            </w:r>
          </w:p>
          <w:p w14:paraId="50B6BFAC">
            <w:pPr>
              <w:pStyle w:val="12"/>
              <w:topLinePunct/>
              <w:adjustRightInd w:val="0"/>
              <w:spacing w:line="400" w:lineRule="exact"/>
              <w:textAlignment w:val="baseline"/>
              <w:rPr>
                <w:rFonts w:ascii="仿宋" w:hAnsi="仿宋" w:eastAsia="仿宋" w:cs="仿宋"/>
                <w:b/>
                <w:bCs/>
                <w:color w:val="auto"/>
                <w:szCs w:val="24"/>
                <w:highlight w:val="none"/>
              </w:rPr>
            </w:pPr>
            <w:r>
              <w:rPr>
                <w:rFonts w:hint="eastAsia" w:ascii="仿宋" w:hAnsi="仿宋" w:eastAsia="仿宋" w:cs="仿宋"/>
                <w:b/>
                <w:bCs/>
                <w:color w:val="auto"/>
                <w:szCs w:val="24"/>
                <w:highlight w:val="none"/>
              </w:rPr>
              <w:t>付款方式；</w:t>
            </w:r>
          </w:p>
        </w:tc>
      </w:tr>
      <w:tr w14:paraId="00D8F75B">
        <w:tblPrEx>
          <w:tblCellMar>
            <w:top w:w="0" w:type="dxa"/>
            <w:left w:w="108" w:type="dxa"/>
            <w:bottom w:w="0" w:type="dxa"/>
            <w:right w:w="108" w:type="dxa"/>
          </w:tblCellMar>
        </w:tblPrEx>
        <w:trPr>
          <w:trHeight w:val="575"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5BC98290">
            <w:pPr>
              <w:adjustRightInd w:val="0"/>
              <w:spacing w:line="440" w:lineRule="exact"/>
              <w:jc w:val="center"/>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97F233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偏差</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7B6C257">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本项目实质性要求和条件不允许负偏差</w:t>
            </w:r>
          </w:p>
        </w:tc>
      </w:tr>
      <w:tr w14:paraId="43D10CA1">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4CD4AD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E76549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构成招标文件的其他材料</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74EB246">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招标过程的澄清、修改、补充、招标文件及图纸答疑等（如有）。</w:t>
            </w:r>
          </w:p>
        </w:tc>
      </w:tr>
      <w:tr w14:paraId="6289E826">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669A33AD">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B6E69C1">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投标人要求澄清招标文件的截止时间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71083C8">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递交投标文件截止时间10日前，投标人或者其他利害关系人对招标文件有疑问的，应当在递交投标截止时间10日前通过交易系统内向招标人或招标代理机构提交疑问函(法定代表人签字并加盖单位公章)并致电告知，委托他人提出疑问的，需一并提交授权委托书和授权委托人身份证明，邮寄件、传真件不予受理。逾期未提交或未按照要求提交的疑问函将不予受理。</w:t>
            </w:r>
          </w:p>
        </w:tc>
      </w:tr>
      <w:tr w14:paraId="659D07F0">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9F69B5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E145657">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投标截止时间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F151D4E">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分（北京时间）</w:t>
            </w:r>
          </w:p>
        </w:tc>
      </w:tr>
      <w:tr w14:paraId="5594CBD9">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69DECC0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2D3949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投标人确认收到招标文件澄清的时间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FAA377C">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招标文件澄清文件发出后24小时内，如未回函确认，招标人和招标代理机构视为投标人收到招标文件澄清内容。</w:t>
            </w:r>
          </w:p>
        </w:tc>
      </w:tr>
      <w:tr w14:paraId="4A5B68BB">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64D76FD">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21E5C2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投标人确认收到招标文件修改的时间</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786C781">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招标人在规定的媒介发出修改时。</w:t>
            </w:r>
          </w:p>
        </w:tc>
      </w:tr>
      <w:tr w14:paraId="43453284">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45562F9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3.1.1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CAC6835">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构成投标文件的其他材料</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23C4551">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招标文件要求提交的其他资料</w:t>
            </w:r>
          </w:p>
        </w:tc>
      </w:tr>
      <w:tr w14:paraId="22819698">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C8B1B4B">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3.2.4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1A7EA253">
            <w:pPr>
              <w:adjustRightInd w:val="0"/>
              <w:spacing w:line="440" w:lineRule="exact"/>
              <w:jc w:val="center"/>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招标控制价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最高投标限价</w:t>
            </w:r>
            <w:r>
              <w:rPr>
                <w:rFonts w:hint="eastAsia" w:ascii="仿宋" w:hAnsi="仿宋" w:eastAsia="仿宋" w:cs="仿宋"/>
                <w:color w:val="auto"/>
                <w:sz w:val="24"/>
                <w:highlight w:val="none"/>
                <w:lang w:eastAsia="zh-CN"/>
              </w:rPr>
              <w:t>）</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E0F6B1A">
            <w:pPr>
              <w:adjustRightInd w:val="0"/>
              <w:spacing w:line="360" w:lineRule="auto"/>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招标控制价（最高投标限价）</w:t>
            </w:r>
            <w:r>
              <w:rPr>
                <w:rFonts w:hint="eastAsia" w:ascii="仿宋" w:hAnsi="仿宋" w:eastAsia="仿宋" w:cs="仿宋"/>
                <w:color w:val="auto"/>
                <w:sz w:val="24"/>
                <w:highlight w:val="none"/>
                <w:lang w:val="en-US" w:eastAsia="zh-CN"/>
              </w:rPr>
              <w:t>13815695.89</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eastAsia="zh-CN"/>
              </w:rPr>
              <w:t>，</w:t>
            </w:r>
          </w:p>
          <w:p w14:paraId="2E461C50">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一标段：7222640.90元，二标段：6593054.99元</w:t>
            </w:r>
            <w:r>
              <w:rPr>
                <w:rFonts w:hint="eastAsia" w:ascii="仿宋" w:hAnsi="仿宋" w:eastAsia="仿宋" w:cs="仿宋"/>
                <w:color w:val="auto"/>
                <w:sz w:val="24"/>
                <w:highlight w:val="none"/>
              </w:rPr>
              <w:t>。</w:t>
            </w:r>
          </w:p>
          <w:p w14:paraId="612E37ED">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注：招标控制价为招标人设定的最高投标限价，各投标人的投标报价不得高于最高投标限价，否则按无效投标处理。</w:t>
            </w:r>
          </w:p>
        </w:tc>
      </w:tr>
      <w:tr w14:paraId="5C59CCF7">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34A91CEB">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3.2.5</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D7156D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投标报价的其他要求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15148F1C">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投标人对项目的各项报价和竣工结算的计价方式均采用工程量清单计价方式。工程量清单总报价（投标报价）以招标文件、答疑纪要，招标人提供的施工图纸及相应规范为依据，充分考虑市场价格，结合实际在合理范围内自主报价，但不得低于企业实际成本。</w:t>
            </w:r>
          </w:p>
          <w:p w14:paraId="104A45A3">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工程量清单中所报的单价和合价，以及投标文件中的投标报价应是招标文件所确定的发包范围内的全部工程内容的价格体现，应以招标文件、技术规范、设计图纸及答疑纪要等规定，实施和完成招标工程所需的全部费用。投标人在投标时应按此要求，在投标文件中认真填写工程量清单所有工程项目的单价和合价。</w:t>
            </w:r>
          </w:p>
          <w:p w14:paraId="3200458E">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招标人提供的工程量清单是为投标人投标计量计价的依据，投标人不能够直接修改原清单的项目编码、项目名称、项目特征描述、计量单位、工程量，不能直接删除或在中间插入需补充的清单项目。</w:t>
            </w:r>
          </w:p>
          <w:p w14:paraId="160FE3EA">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投标人应根据自己对招标文件和设计图纸的理解，凭借自己的实力对本招标工程进行准确计价，投标人对招标人提供的清单有异议需进行修订的，应按招标项目要求中规定的招标答疑时间之前书面告知招标人，招标人以答疑纪要的形式予以回复；如招标人和投标人意见不一致时投标人不可以修改招标人提供的工程量清单内容，对于差异部分，由投标人在投标报价中自行考虑。</w:t>
            </w:r>
          </w:p>
          <w:p w14:paraId="0D6D27A4">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本次招标为中标价加变更签证。</w:t>
            </w:r>
          </w:p>
          <w:p w14:paraId="333E05CC">
            <w:pPr>
              <w:spacing w:line="360" w:lineRule="auto"/>
              <w:ind w:firstLine="480" w:firstLineChars="200"/>
              <w:textAlignment w:val="baseline"/>
              <w:rPr>
                <w:rFonts w:hint="eastAsia" w:ascii="仿宋" w:hAnsi="仿宋" w:eastAsia="仿宋" w:cs="仿宋"/>
                <w:color w:val="auto"/>
                <w:sz w:val="24"/>
                <w:highlight w:val="none"/>
                <w:lang w:eastAsia="zh-TW"/>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TW"/>
              </w:rPr>
              <w:t>工程变更、签证引起的价款调整。分部分项工程的工程量清单中有适用于变更工程项目的，且工程量变化幅度不超过清单工程量的10%（含10%）时，采用该项目的单价。工程量清单中没有适用于变更工程项目的，依据</w:t>
            </w:r>
            <w:r>
              <w:rPr>
                <w:rFonts w:hint="eastAsia" w:ascii="仿宋" w:hAnsi="仿宋" w:eastAsia="仿宋" w:cs="仿宋"/>
                <w:color w:val="auto"/>
                <w:sz w:val="24"/>
                <w:highlight w:val="none"/>
                <w:lang w:val="en-US" w:eastAsia="zh-TW"/>
              </w:rPr>
              <w:t>《水利工程设计概(估)算编制规定》(2025)及配套预算定额；《河南省土地开发整理项目预算定额》(2014);材料价格采用:材料价格按照2025年嵩县《第二季度主材社会指导价》(嵩定[2025]02号)及《河南省工程造价信息·洛阳专刊》2025年第3期进行调整，两者不全的参考《郑州造价信息》2025年第二季度及市场价计</w:t>
            </w:r>
            <w:r>
              <w:rPr>
                <w:rFonts w:hint="eastAsia" w:ascii="仿宋" w:hAnsi="仿宋" w:eastAsia="仿宋" w:cs="仿宋"/>
                <w:color w:val="auto"/>
                <w:sz w:val="24"/>
                <w:highlight w:val="none"/>
                <w:lang w:val="en-US" w:eastAsia="zh-CN"/>
              </w:rPr>
              <w:t>入，</w:t>
            </w:r>
            <w:r>
              <w:rPr>
                <w:rFonts w:hint="eastAsia" w:ascii="仿宋" w:hAnsi="仿宋" w:eastAsia="仿宋" w:cs="仿宋"/>
                <w:color w:val="auto"/>
                <w:sz w:val="24"/>
                <w:highlight w:val="none"/>
                <w:lang w:eastAsia="zh-TW"/>
              </w:rPr>
              <w:t>并在此基础上结合变更签证优惠率重新编制清单单价。</w:t>
            </w:r>
          </w:p>
          <w:p w14:paraId="6595182E">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投标人所报设计变更及预算外签证部分优惠率不得低于投标优惠率【投标优惠率=（预算控制金额-投标人投标报价）/预算控制金额*100%】</w:t>
            </w:r>
          </w:p>
          <w:p w14:paraId="5DDBA650">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TW"/>
              </w:rPr>
              <w:t>招标人与投标人共同承担价格风险的材料范围为：钢材、水泥、商品混凝土、碎石、中粗砂。材料费的风险由承发包双方分担，风险幅度为±5%，跨季度施工时，按施工期对应的工程造价信息价与材料进场量加权平均计算；非建设单位原因造成工程实际施工工期超过合同约定工期的，按原合同工期对应的造价信息价格计算，超工期部分材料费增加因素不计算。共同承担价格风险材料范围以外的材料价格不调整。</w:t>
            </w:r>
          </w:p>
        </w:tc>
      </w:tr>
      <w:tr w14:paraId="750295B4">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16736A7">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BD0CDE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ECBACD1">
            <w:pPr>
              <w:adjustRightInd w:val="0"/>
              <w:spacing w:line="440" w:lineRule="exac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投标截止日起90日历天</w:t>
            </w:r>
            <w:r>
              <w:rPr>
                <w:rFonts w:hint="eastAsia" w:ascii="仿宋" w:hAnsi="仿宋" w:eastAsia="仿宋" w:cs="仿宋"/>
                <w:color w:val="auto"/>
                <w:sz w:val="24"/>
                <w:highlight w:val="none"/>
                <w:lang w:val="en-US" w:eastAsia="zh-CN"/>
              </w:rPr>
              <w:t>。</w:t>
            </w:r>
          </w:p>
        </w:tc>
      </w:tr>
      <w:tr w14:paraId="37F7CDC6">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5CC007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3.4.1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A86763C">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投标保证金</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647A8A1">
            <w:pPr>
              <w:adjustRightInd w:val="0"/>
              <w:spacing w:line="360" w:lineRule="auto"/>
              <w:textAlignment w:val="baseline"/>
              <w:rPr>
                <w:rFonts w:hint="default" w:ascii="仿宋" w:hAnsi="仿宋" w:eastAsia="仿宋" w:cs="宋体"/>
                <w:color w:val="auto"/>
                <w:kern w:val="0"/>
                <w:sz w:val="24"/>
                <w:highlight w:val="none"/>
                <w:lang w:val="en-US" w:eastAsia="zh-CN"/>
              </w:rPr>
            </w:pPr>
            <w:r>
              <w:rPr>
                <w:rFonts w:hint="default" w:ascii="仿宋" w:hAnsi="仿宋" w:eastAsia="仿宋" w:cs="宋体"/>
                <w:color w:val="auto"/>
                <w:kern w:val="0"/>
                <w:sz w:val="24"/>
                <w:highlight w:val="none"/>
                <w:lang w:val="en-US" w:eastAsia="zh-CN"/>
              </w:rPr>
              <w:t>依据河南省财政厅关于优化政府采购营商环境有关问题的通知（豫财购〔2019〕4号）文件规定，本项目不再收取投标保证金。</w:t>
            </w:r>
          </w:p>
        </w:tc>
      </w:tr>
      <w:tr w14:paraId="54990D26">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658B3E8E">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5301F7C4">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资格审查资料的特殊要求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1379BC88">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投标文件所附证明材料均为原件的扫描件，若投标人提供</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的扫描件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不清晰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w:t>
            </w:r>
            <w:r>
              <w:rPr>
                <w:rFonts w:hint="eastAsia" w:ascii="仿宋" w:hAnsi="仿宋" w:eastAsia="仿宋" w:cs="仿宋"/>
                <w:color w:val="auto"/>
                <w:sz w:val="24"/>
                <w:highlight w:val="none"/>
              </w:rPr>
              <w:t>能够在电脑上被阅读、识别和判断</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评标委员会可要求投标人进行澄清，如澄清后</w:t>
            </w:r>
            <w:r>
              <w:rPr>
                <w:rFonts w:hint="eastAsia" w:ascii="仿宋" w:hAnsi="仿宋" w:eastAsia="仿宋" w:cs="仿宋"/>
                <w:color w:val="auto"/>
                <w:sz w:val="24"/>
                <w:highlight w:val="none"/>
              </w:rPr>
              <w:t>评标委员会认定其投标文件未对招标文件有关要求进行响应，涉及资格审查或符合性审查的将不予通过。</w:t>
            </w:r>
          </w:p>
        </w:tc>
      </w:tr>
      <w:tr w14:paraId="264EADDC">
        <w:tblPrEx>
          <w:tblCellMar>
            <w:top w:w="0" w:type="dxa"/>
            <w:left w:w="108" w:type="dxa"/>
            <w:bottom w:w="0" w:type="dxa"/>
            <w:right w:w="108" w:type="dxa"/>
          </w:tblCellMar>
        </w:tblPrEx>
        <w:trPr>
          <w:trHeight w:val="894"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56E66BAB">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3.5.2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13321900">
            <w:pPr>
              <w:adjustRightInd w:val="0"/>
              <w:spacing w:line="42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近年财务状况的年份要求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F0ED14D">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F84A8A9">
        <w:tblPrEx>
          <w:tblCellMar>
            <w:top w:w="0" w:type="dxa"/>
            <w:left w:w="108" w:type="dxa"/>
            <w:bottom w:w="0" w:type="dxa"/>
            <w:right w:w="108" w:type="dxa"/>
          </w:tblCellMar>
        </w:tblPrEx>
        <w:trPr>
          <w:trHeight w:val="978"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B79417F">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3.5.3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7EDD185">
            <w:pPr>
              <w:adjustRightInd w:val="0"/>
              <w:spacing w:line="42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近年完成的类似项目的年份要求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19213BC9">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年1月1日以来</w:t>
            </w:r>
          </w:p>
        </w:tc>
      </w:tr>
      <w:tr w14:paraId="003FFF5F">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7590107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3.6</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FAA65A8">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是否允许递交</w:t>
            </w:r>
          </w:p>
          <w:p w14:paraId="1C7CC1C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备选投标方案</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5B1CBC4">
            <w:pPr>
              <w:pStyle w:val="12"/>
              <w:topLinePunct/>
              <w:adjustRightInd w:val="0"/>
              <w:spacing w:line="400" w:lineRule="exact"/>
              <w:textAlignment w:val="baseline"/>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不允许</w:t>
            </w:r>
          </w:p>
        </w:tc>
      </w:tr>
      <w:tr w14:paraId="619A9069">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43ABACC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3.7.3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135F381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签字和（或）</w:t>
            </w:r>
          </w:p>
          <w:p w14:paraId="24108F2C">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盖章要求</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CB73A31">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投标文件中要盖单位（公）章的地方，投标人均应使用CA数字证书加盖投标人的单位电子签章。签字可以是手签后上传的，也可以是电子手写签名或法定代表人的个人电子签章。</w:t>
            </w:r>
          </w:p>
        </w:tc>
      </w:tr>
      <w:tr w14:paraId="76F4A45C">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20835D5F">
            <w:pPr>
              <w:pStyle w:val="37"/>
              <w:spacing w:line="500" w:lineRule="exact"/>
              <w:ind w:left="107"/>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6CAC9B78">
            <w:pPr>
              <w:pStyle w:val="37"/>
              <w:spacing w:line="500" w:lineRule="exact"/>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技术</w:t>
            </w:r>
            <w:r>
              <w:rPr>
                <w:rFonts w:hint="eastAsia" w:ascii="仿宋" w:hAnsi="仿宋" w:eastAsia="仿宋" w:cs="仿宋"/>
                <w:b/>
                <w:bCs/>
                <w:color w:val="auto"/>
                <w:sz w:val="24"/>
                <w:szCs w:val="24"/>
                <w:highlight w:val="none"/>
              </w:rPr>
              <w:t>标</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施工组织设计</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暗标格式</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ECAC41C">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w:t>
            </w:r>
            <w:r>
              <w:rPr>
                <w:rFonts w:hint="eastAsia" w:ascii="仿宋" w:hAnsi="仿宋" w:eastAsia="仿宋" w:cs="仿宋"/>
                <w:b/>
                <w:color w:val="auto"/>
                <w:sz w:val="24"/>
                <w:highlight w:val="none"/>
                <w:lang w:val="en-US" w:eastAsia="zh-CN"/>
              </w:rPr>
              <w:t>技术</w:t>
            </w:r>
            <w:r>
              <w:rPr>
                <w:rFonts w:hint="eastAsia" w:ascii="仿宋" w:hAnsi="仿宋" w:eastAsia="仿宋" w:cs="仿宋"/>
                <w:b/>
                <w:color w:val="auto"/>
                <w:sz w:val="24"/>
                <w:highlight w:val="none"/>
              </w:rPr>
              <w:t>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施工组织设计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采用“暗标”评审，投标人编制的</w:t>
            </w:r>
            <w:r>
              <w:rPr>
                <w:rFonts w:hint="eastAsia" w:ascii="仿宋" w:hAnsi="仿宋" w:eastAsia="仿宋" w:cs="仿宋"/>
                <w:b/>
                <w:color w:val="auto"/>
                <w:sz w:val="24"/>
                <w:highlight w:val="none"/>
                <w:lang w:val="en-US" w:eastAsia="zh-CN"/>
              </w:rPr>
              <w:t>技术</w:t>
            </w:r>
            <w:r>
              <w:rPr>
                <w:rFonts w:hint="eastAsia" w:ascii="仿宋" w:hAnsi="仿宋" w:eastAsia="仿宋" w:cs="仿宋"/>
                <w:b/>
                <w:color w:val="auto"/>
                <w:sz w:val="24"/>
                <w:highlight w:val="none"/>
              </w:rPr>
              <w:t>标应满足以下要求：</w:t>
            </w:r>
          </w:p>
          <w:p w14:paraId="6C1359CA">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（1）签章要求：不得对暗标部分进行电子签章。</w:t>
            </w:r>
          </w:p>
          <w:p w14:paraId="039C757F">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（2）排版要求：全文采用A4大小，不允许插入空白页，页边距均为2.5厘米，不得出现页眉、页脚、页码，全文均为白底黑字，字体为宋体四号字，不允许倾斜和下划线，行间距采用固定值28磅，段前段后间距为0。</w:t>
            </w:r>
          </w:p>
          <w:p w14:paraId="45AAD012">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（3）标题编号要求：标题序号最多设置7级，每一个暗标部分的标题都要重新开始编号，编号格式为：</w:t>
            </w:r>
          </w:p>
          <w:p w14:paraId="1AF5A382">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一级为“一、”、“二、”......，</w:t>
            </w:r>
          </w:p>
          <w:p w14:paraId="02A6A5CA">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二级为“（一）”、“（二）”......，</w:t>
            </w:r>
          </w:p>
          <w:p w14:paraId="4A88E4F5">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三级为“1.”、“2.”......，</w:t>
            </w:r>
          </w:p>
          <w:p w14:paraId="1D22631D">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四级为“（1）”、“（2）”......，</w:t>
            </w:r>
          </w:p>
          <w:p w14:paraId="4C1E8F10">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五级为“1）”、“2）”......，</w:t>
            </w:r>
          </w:p>
          <w:p w14:paraId="42C08D94">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六级为“a.”、“b.”......，</w:t>
            </w:r>
          </w:p>
          <w:p w14:paraId="386751C7">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七级为“a）”、“b）”......。</w:t>
            </w:r>
          </w:p>
          <w:p w14:paraId="2B186377">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（4）图表要求：电脑绘制（不得手绘），白底黑字。宋体四号字，字体不允许倾斜和下划线；</w:t>
            </w:r>
          </w:p>
          <w:p w14:paraId="4D800B79">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（5）内容中不得出现投标人名称和其他可识别投标人身份的字符、徽标、人员名称以及其他特殊标记等。</w:t>
            </w:r>
          </w:p>
          <w:p w14:paraId="73F65145">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（6）不得插入图片（招标文件要求有图片除外）。</w:t>
            </w:r>
          </w:p>
          <w:p w14:paraId="708DF5FC">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（7）黑字必须为标准黑色字体，颜色为RGB（0,0,0）。</w:t>
            </w:r>
          </w:p>
          <w:p w14:paraId="4D766013">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（8）每个暗标评审点的文档都要重新开始标题编号。</w:t>
            </w:r>
          </w:p>
          <w:p w14:paraId="22940ECF">
            <w:pPr>
              <w:adjustRightInd w:val="0"/>
              <w:spacing w:line="440" w:lineRule="exact"/>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619461F1">
            <w:pPr>
              <w:pStyle w:val="8"/>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注：1、投标文件中暗标部分不符合要求的，其暗标部分整体得零分。</w:t>
            </w:r>
          </w:p>
          <w:p w14:paraId="3D104CA2">
            <w:pPr>
              <w:pStyle w:val="8"/>
              <w:rPr>
                <w:rFonts w:ascii="Times New Roman" w:hAnsi="Times New Roman" w:eastAsia="仿宋" w:cs="Times New Roman"/>
                <w:color w:val="auto"/>
                <w:highlight w:val="none"/>
              </w:rPr>
            </w:pPr>
            <w:r>
              <w:rPr>
                <w:rFonts w:hint="eastAsia" w:ascii="仿宋" w:hAnsi="仿宋" w:eastAsia="仿宋" w:cs="仿宋"/>
                <w:b/>
                <w:color w:val="auto"/>
                <w:kern w:val="2"/>
                <w:sz w:val="24"/>
                <w:szCs w:val="24"/>
                <w:highlight w:val="none"/>
                <w:lang w:val="en-US" w:eastAsia="zh-CN" w:bidi="ar-SA"/>
              </w:rPr>
              <w:t>2、根据《洛阳市公共资源交易中心关于招标采购项目暗标评审的通知》，本项目暗标部分最后评审，暗标打分后不能进行回退，暗标打分汇总后进行暗标清标，在推荐候选人及排名阶段，由评标委员会将暗标不符合要求的投标人的技术标汇总得分记为零分，并修改投标人的排名。</w:t>
            </w:r>
          </w:p>
        </w:tc>
      </w:tr>
      <w:tr w14:paraId="73C3553B">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4F674DA8">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4.2.2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24C4328">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投标文件递交</w:t>
            </w:r>
          </w:p>
          <w:p w14:paraId="76519F7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截止时间及地点</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BC410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时间：同投标截止时间</w:t>
            </w:r>
          </w:p>
          <w:p w14:paraId="0D178FE6">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电子投标文件（加密版）递交地点：</w:t>
            </w:r>
            <w:r>
              <w:rPr>
                <w:rFonts w:hint="eastAsia" w:ascii="仿宋" w:hAnsi="仿宋" w:eastAsia="仿宋" w:cs="仿宋"/>
                <w:color w:val="auto"/>
                <w:sz w:val="24"/>
                <w:highlight w:val="none"/>
              </w:rPr>
              <w:t>在投标截止时间前通过全国公共资源交易平台（河南省·洛阳市）系统中在线完成上传加密的电子投标文件。</w:t>
            </w:r>
          </w:p>
          <w:p w14:paraId="08FAD440">
            <w:pPr>
              <w:adjustRightInd w:val="0"/>
              <w:spacing w:line="360" w:lineRule="auto"/>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（提醒：投标人应考虑投标数据传输耗时以及意外情况的影响，适当提前上传</w:t>
            </w:r>
            <w:bookmarkStart w:id="42" w:name="_Hlk12784575"/>
            <w:r>
              <w:rPr>
                <w:rFonts w:hint="eastAsia" w:ascii="仿宋" w:hAnsi="仿宋" w:eastAsia="仿宋" w:cs="仿宋"/>
                <w:b/>
                <w:color w:val="auto"/>
                <w:sz w:val="24"/>
                <w:highlight w:val="none"/>
              </w:rPr>
              <w:t>。因投标人自身原因而导致投标文件无法导入“洛阳市电子招投标交易平台”电子开标、评标系统，该投标视为无效投标，投标人自行承担由此导致的全部责任）。</w:t>
            </w:r>
            <w:bookmarkEnd w:id="42"/>
          </w:p>
        </w:tc>
      </w:tr>
      <w:tr w14:paraId="4C01C8E2">
        <w:tblPrEx>
          <w:tblCellMar>
            <w:top w:w="0" w:type="dxa"/>
            <w:left w:w="108" w:type="dxa"/>
            <w:bottom w:w="0" w:type="dxa"/>
            <w:right w:w="108" w:type="dxa"/>
          </w:tblCellMar>
        </w:tblPrEx>
        <w:trPr>
          <w:trHeight w:val="88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0866391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AC07C0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开标时间和地点</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0EE1B67">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开标时间：同投标截止时间</w:t>
            </w:r>
          </w:p>
          <w:p w14:paraId="57FD88D7">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开标地点：洛阳市</w:t>
            </w:r>
            <w:r>
              <w:rPr>
                <w:rFonts w:hint="eastAsia" w:ascii="仿宋" w:hAnsi="仿宋" w:eastAsia="仿宋" w:cs="仿宋"/>
                <w:color w:val="auto"/>
                <w:sz w:val="24"/>
                <w:highlight w:val="none"/>
                <w:lang w:val="en-US" w:eastAsia="zh-CN"/>
              </w:rPr>
              <w:t>嵩县</w:t>
            </w:r>
            <w:r>
              <w:rPr>
                <w:rFonts w:hint="eastAsia" w:ascii="仿宋" w:hAnsi="仿宋" w:eastAsia="仿宋" w:cs="仿宋"/>
                <w:color w:val="auto"/>
                <w:sz w:val="24"/>
                <w:highlight w:val="none"/>
              </w:rPr>
              <w:t>公共资源交易中心开标</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室</w:t>
            </w:r>
          </w:p>
        </w:tc>
      </w:tr>
      <w:tr w14:paraId="3DA0F2E1">
        <w:tblPrEx>
          <w:tblCellMar>
            <w:top w:w="0" w:type="dxa"/>
            <w:left w:w="108" w:type="dxa"/>
            <w:bottom w:w="0" w:type="dxa"/>
            <w:right w:w="108" w:type="dxa"/>
          </w:tblCellMar>
        </w:tblPrEx>
        <w:trPr>
          <w:trHeight w:val="381"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5F47B04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25C60C7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开标程序</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8FE81BE">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开标顺序：按照递交电子投标文件的顺序。</w:t>
            </w:r>
          </w:p>
        </w:tc>
      </w:tr>
      <w:tr w14:paraId="57C3D59A">
        <w:tblPrEx>
          <w:tblCellMar>
            <w:top w:w="0" w:type="dxa"/>
            <w:left w:w="108" w:type="dxa"/>
            <w:bottom w:w="0" w:type="dxa"/>
            <w:right w:w="108" w:type="dxa"/>
          </w:tblCellMar>
        </w:tblPrEx>
        <w:trPr>
          <w:trHeight w:val="558"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2CB127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6.1.1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89667E4">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w:t>
            </w:r>
          </w:p>
          <w:p w14:paraId="2BF6E09D">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的组建</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300C4D3">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评标委员会构成：</w:t>
            </w:r>
            <w:r>
              <w:rPr>
                <w:rFonts w:hint="eastAsia" w:ascii="仿宋" w:hAnsi="仿宋" w:eastAsia="仿宋" w:cs="仿宋"/>
                <w:color w:val="auto"/>
                <w:sz w:val="24"/>
                <w:highlight w:val="none"/>
                <w:u w:val="single"/>
              </w:rPr>
              <w:t>5</w:t>
            </w:r>
            <w:r>
              <w:rPr>
                <w:rFonts w:hint="eastAsia" w:ascii="仿宋" w:hAnsi="仿宋" w:eastAsia="仿宋" w:cs="仿宋"/>
                <w:color w:val="auto"/>
                <w:sz w:val="24"/>
                <w:highlight w:val="none"/>
              </w:rPr>
              <w:t>人；</w:t>
            </w:r>
          </w:p>
          <w:p w14:paraId="2689941B">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其中招标人代表：</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rPr>
              <w:t>人，专家</w:t>
            </w:r>
            <w:r>
              <w:rPr>
                <w:rFonts w:hint="eastAsia" w:ascii="仿宋" w:hAnsi="仿宋" w:eastAsia="仿宋" w:cs="仿宋"/>
                <w:color w:val="auto"/>
                <w:sz w:val="24"/>
                <w:highlight w:val="none"/>
                <w:u w:val="single"/>
              </w:rPr>
              <w:t>4</w:t>
            </w:r>
            <w:r>
              <w:rPr>
                <w:rFonts w:hint="eastAsia" w:ascii="仿宋" w:hAnsi="仿宋" w:eastAsia="仿宋" w:cs="仿宋"/>
                <w:color w:val="auto"/>
                <w:sz w:val="24"/>
                <w:highlight w:val="none"/>
              </w:rPr>
              <w:t>人。</w:t>
            </w:r>
          </w:p>
          <w:p w14:paraId="297306D3">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评标专家确定方式：经济、技术专家从河南省综合评标专家库中随机抽取确定。</w:t>
            </w:r>
          </w:p>
        </w:tc>
      </w:tr>
      <w:tr w14:paraId="00FC4172">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0AC042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6.3.2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7191997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评标委员会推荐中标候选人的人数</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7B5441C6">
            <w:pPr>
              <w:adjustRightInd w:val="0"/>
              <w:spacing w:line="440" w:lineRule="exact"/>
              <w:textAlignment w:val="baseline"/>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按照得分由高到低的顺序推荐前3名为中标候选人。</w:t>
            </w:r>
          </w:p>
          <w:p w14:paraId="0127E0C4">
            <w:pPr>
              <w:pStyle w:val="9"/>
              <w:rPr>
                <w:rFonts w:hint="eastAsia"/>
                <w:color w:val="auto"/>
                <w:highlight w:val="none"/>
              </w:rPr>
            </w:pPr>
            <w:r>
              <w:rPr>
                <w:rFonts w:hint="eastAsia" w:ascii="仿宋" w:hAnsi="仿宋" w:eastAsia="仿宋" w:cs="仿宋"/>
                <w:b w:val="0"/>
                <w:bCs w:val="0"/>
                <w:color w:val="auto"/>
                <w:kern w:val="0"/>
                <w:szCs w:val="21"/>
                <w:highlight w:val="none"/>
              </w:rPr>
              <w:t>说明：</w:t>
            </w:r>
            <w:r>
              <w:rPr>
                <w:rFonts w:hint="eastAsia" w:ascii="仿宋" w:hAnsi="仿宋" w:eastAsia="仿宋" w:cs="仿宋"/>
                <w:b w:val="0"/>
                <w:bCs w:val="0"/>
                <w:color w:val="auto"/>
                <w:szCs w:val="21"/>
                <w:highlight w:val="none"/>
              </w:rPr>
              <w:t>一个投标人最多只能中一个标段，按标段顺序推荐候选人，若同一投标人在多个标段同时评审排名第一，则将按标段顺序推荐其为所投标段的第一中标候选人，该投标人在其它标段不再推荐候选人，其他标段由该标段经评审的第二名上升递补成为第一名，以此类推。</w:t>
            </w:r>
          </w:p>
        </w:tc>
      </w:tr>
      <w:tr w14:paraId="290FD672">
        <w:tblPrEx>
          <w:tblCellMar>
            <w:top w:w="0" w:type="dxa"/>
            <w:left w:w="108" w:type="dxa"/>
            <w:bottom w:w="0" w:type="dxa"/>
            <w:right w:w="108" w:type="dxa"/>
          </w:tblCellMar>
        </w:tblPrEx>
        <w:trPr>
          <w:trHeight w:val="88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1A28B69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4F11563">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中标候选人公示媒介</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264DB005">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同招标公告发布媒介</w:t>
            </w:r>
          </w:p>
          <w:p w14:paraId="3108B057">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公示期限：不少于3日</w:t>
            </w:r>
          </w:p>
        </w:tc>
      </w:tr>
      <w:tr w14:paraId="4C024FB6">
        <w:tblPrEx>
          <w:tblCellMar>
            <w:top w:w="0" w:type="dxa"/>
            <w:left w:w="108" w:type="dxa"/>
            <w:bottom w:w="0" w:type="dxa"/>
            <w:right w:w="108" w:type="dxa"/>
          </w:tblCellMar>
        </w:tblPrEx>
        <w:trPr>
          <w:trHeight w:val="88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0B2B05B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3A36566">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是否授权评标委员会确定中标人</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33901C7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否，中标候选人排序方法详见第三章评标办法。</w:t>
            </w:r>
          </w:p>
        </w:tc>
      </w:tr>
      <w:tr w14:paraId="716B7D53">
        <w:tblPrEx>
          <w:tblCellMar>
            <w:top w:w="0" w:type="dxa"/>
            <w:left w:w="108" w:type="dxa"/>
            <w:bottom w:w="0" w:type="dxa"/>
            <w:right w:w="108" w:type="dxa"/>
          </w:tblCellMar>
        </w:tblPrEx>
        <w:trPr>
          <w:trHeight w:val="675"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F21B27A">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7.6</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4779CB0">
            <w:pPr>
              <w:adjustRightInd w:val="0"/>
              <w:spacing w:line="440" w:lineRule="exact"/>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履约担保</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4AFC945">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本项目不收取履约保证金</w:t>
            </w:r>
          </w:p>
        </w:tc>
      </w:tr>
      <w:tr w14:paraId="7F70E3E0">
        <w:tblPrEx>
          <w:tblCellMar>
            <w:top w:w="0" w:type="dxa"/>
            <w:left w:w="108" w:type="dxa"/>
            <w:bottom w:w="0" w:type="dxa"/>
            <w:right w:w="108" w:type="dxa"/>
          </w:tblCellMar>
        </w:tblPrEx>
        <w:trPr>
          <w:trHeight w:val="319"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45B8D7A4">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1D9DE388">
            <w:pPr>
              <w:adjustRightInd w:val="0"/>
              <w:spacing w:line="44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需要补充的其他内容</w:t>
            </w:r>
          </w:p>
        </w:tc>
      </w:tr>
      <w:tr w14:paraId="5C206960">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00F4B38">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10.1</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6DF67560">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是否采用电子招标投标</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175CB4B">
            <w:pPr>
              <w:adjustRightInd w:val="0"/>
              <w:spacing w:line="440" w:lineRule="exact"/>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具体要求：投标文件所附证明材料均为原件的扫描件，若投标人提供的证明材料的扫描件，不清晰、不能够在电脑上被阅读、识别和判断，评标委员会可要求投标人进行澄清，如澄清后评标委员会认定其投标文件未对招标文件有关要求进行响应，涉及资格审查或符合性审查的将不予通过。</w:t>
            </w:r>
          </w:p>
        </w:tc>
      </w:tr>
      <w:tr w14:paraId="52C4791B">
        <w:tblPrEx>
          <w:tblCellMar>
            <w:top w:w="0" w:type="dxa"/>
            <w:left w:w="108" w:type="dxa"/>
            <w:bottom w:w="0" w:type="dxa"/>
            <w:right w:w="108" w:type="dxa"/>
          </w:tblCellMar>
        </w:tblPrEx>
        <w:trPr>
          <w:trHeight w:val="558"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023ECBBC">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10.2</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47D44C7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投标人参加</w:t>
            </w:r>
          </w:p>
          <w:p w14:paraId="4D88D973">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开标人员</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06D3EBB0">
            <w:pPr>
              <w:adjustRightInd w:val="0"/>
              <w:spacing w:line="4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远程不见面交易的模式。开标当日，投标人无需到开标现场参加开标会议，投标人应当在投标截止时间前，登录不见面开标大厅选择洛阳市公共资源电子招投标系统进行登录，在线准时参加开标活动并进行投标文件解密等。</w:t>
            </w:r>
          </w:p>
        </w:tc>
      </w:tr>
      <w:tr w14:paraId="4E24F46B">
        <w:tblPrEx>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2669E888">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10.3</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6C2351A7">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代理服务费</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422EFDB5">
            <w:pPr>
              <w:adjustRightInd w:val="0"/>
              <w:spacing w:line="42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本次招标代理服务费参照《河南省招标代理服务收费指导意见》豫招协【2023】002号规定的《河南省招标代理服务收费计算标准》下浮</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%收取，由中标人在领取中标通知书时支付，此费用由投标人在投标报价中综合考虑。</w:t>
            </w:r>
          </w:p>
        </w:tc>
      </w:tr>
      <w:tr w14:paraId="4C2CD0BF">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0766302A">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10.4</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3B38155D">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投标人违法行为</w:t>
            </w:r>
          </w:p>
          <w:p w14:paraId="344D5301">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的处理</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1958EB83">
            <w:pPr>
              <w:adjustRightInd w:val="0"/>
              <w:spacing w:line="42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若发现评标委员会推举的中标候选人有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14:paraId="272B9EAE">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6A81025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10.5</w:t>
            </w:r>
          </w:p>
        </w:tc>
        <w:tc>
          <w:tcPr>
            <w:tcW w:w="2047" w:type="dxa"/>
            <w:tcBorders>
              <w:top w:val="single" w:color="auto" w:sz="4" w:space="0"/>
              <w:left w:val="single" w:color="auto" w:sz="4" w:space="0"/>
              <w:bottom w:val="single" w:color="auto" w:sz="4" w:space="0"/>
              <w:right w:val="single" w:color="auto" w:sz="4" w:space="0"/>
            </w:tcBorders>
            <w:noWrap w:val="0"/>
            <w:vAlign w:val="center"/>
          </w:tcPr>
          <w:p w14:paraId="00DFAE2A">
            <w:pPr>
              <w:adjustRightInd w:val="0"/>
              <w:spacing w:line="440" w:lineRule="exact"/>
              <w:jc w:val="center"/>
              <w:textAlignment w:val="baseline"/>
              <w:rPr>
                <w:rFonts w:hint="eastAsia" w:ascii="Times New Roman" w:hAnsi="Times New Roman" w:eastAsia="宋体" w:cs="Times New Roman"/>
                <w:color w:val="auto"/>
                <w:sz w:val="24"/>
                <w:highlight w:val="none"/>
              </w:rPr>
            </w:pPr>
            <w:r>
              <w:rPr>
                <w:rFonts w:hint="eastAsia" w:ascii="仿宋" w:hAnsi="仿宋" w:eastAsia="仿宋" w:cs="仿宋"/>
                <w:color w:val="auto"/>
                <w:sz w:val="24"/>
                <w:highlight w:val="none"/>
              </w:rPr>
              <w:t>付款方式</w:t>
            </w:r>
          </w:p>
        </w:tc>
        <w:tc>
          <w:tcPr>
            <w:tcW w:w="5820" w:type="dxa"/>
            <w:tcBorders>
              <w:top w:val="single" w:color="auto" w:sz="4" w:space="0"/>
              <w:left w:val="single" w:color="auto" w:sz="4" w:space="0"/>
              <w:bottom w:val="single" w:color="auto" w:sz="4" w:space="0"/>
              <w:right w:val="single" w:color="auto" w:sz="4" w:space="0"/>
            </w:tcBorders>
            <w:noWrap w:val="0"/>
            <w:vAlign w:val="center"/>
          </w:tcPr>
          <w:p w14:paraId="5269844A">
            <w:pPr>
              <w:adjustRightInd w:val="0"/>
              <w:spacing w:line="420" w:lineRule="exact"/>
              <w:jc w:val="left"/>
              <w:textAlignment w:val="baseline"/>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本工程根据国家及河南省相关规定，按照</w:t>
            </w:r>
            <w:r>
              <w:rPr>
                <w:rFonts w:hint="eastAsia" w:ascii="Times New Roman" w:hAnsi="Times New Roman" w:eastAsia="仿宋" w:cs="Times New Roman"/>
                <w:color w:val="auto"/>
                <w:sz w:val="24"/>
                <w:highlight w:val="none"/>
                <w:lang w:val="en-US" w:eastAsia="zh-CN"/>
              </w:rPr>
              <w:t>工程</w:t>
            </w:r>
            <w:r>
              <w:rPr>
                <w:rFonts w:hint="eastAsia" w:ascii="Times New Roman" w:hAnsi="Times New Roman" w:eastAsia="仿宋" w:cs="Times New Roman"/>
                <w:color w:val="auto"/>
                <w:sz w:val="24"/>
                <w:highlight w:val="none"/>
              </w:rPr>
              <w:t>进度支付工程款，具体支付</w:t>
            </w:r>
            <w:r>
              <w:rPr>
                <w:rFonts w:hint="eastAsia" w:eastAsia="仿宋" w:cs="Times New Roman"/>
                <w:color w:val="auto"/>
                <w:sz w:val="24"/>
                <w:highlight w:val="none"/>
                <w:lang w:val="en-US" w:eastAsia="zh-CN"/>
              </w:rPr>
              <w:t>节</w:t>
            </w:r>
            <w:r>
              <w:rPr>
                <w:rFonts w:hint="eastAsia" w:ascii="Times New Roman" w:hAnsi="Times New Roman" w:eastAsia="仿宋" w:cs="Times New Roman"/>
                <w:color w:val="auto"/>
                <w:sz w:val="24"/>
                <w:highlight w:val="none"/>
              </w:rPr>
              <w:t>点以</w:t>
            </w:r>
            <w:r>
              <w:rPr>
                <w:rFonts w:hint="eastAsia" w:ascii="Times New Roman" w:hAnsi="Times New Roman" w:eastAsia="仿宋" w:cs="Times New Roman"/>
                <w:color w:val="auto"/>
                <w:sz w:val="24"/>
                <w:highlight w:val="none"/>
                <w:lang w:val="en-US" w:eastAsia="zh-CN"/>
              </w:rPr>
              <w:t>招标人和中标人签订合同</w:t>
            </w:r>
            <w:r>
              <w:rPr>
                <w:rFonts w:hint="eastAsia" w:ascii="Times New Roman" w:hAnsi="Times New Roman" w:eastAsia="仿宋" w:cs="Times New Roman"/>
                <w:color w:val="auto"/>
                <w:sz w:val="24"/>
                <w:highlight w:val="none"/>
              </w:rPr>
              <w:t>为准。</w:t>
            </w:r>
          </w:p>
        </w:tc>
      </w:tr>
      <w:tr w14:paraId="75B93603">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B66FB3F">
            <w:pPr>
              <w:adjustRightInd w:val="0"/>
              <w:spacing w:line="440" w:lineRule="exact"/>
              <w:jc w:val="center"/>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10.6</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2289D863">
            <w:pPr>
              <w:adjustRightInd w:val="0"/>
              <w:spacing w:line="420" w:lineRule="exact"/>
              <w:jc w:val="left"/>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解释权：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14:paraId="0FEB121A">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2EC8BC32">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10.7</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4D4C8E08">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在确定中标人后5日内，中标人须将本单位的投标文件完整打印、胶装，并在封皮加盖单位公章。</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套送至招标人，1套送至招标代理机构存档备查。</w:t>
            </w:r>
          </w:p>
          <w:p w14:paraId="2F494242">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投标文件内容须与“洛阳市电子招投标交易平台”上传的加密的电子投标文件（*.lytf 格式）一致。打印顺序与投标文件组成顺序一致。</w:t>
            </w:r>
          </w:p>
          <w:p w14:paraId="29051A2A">
            <w:pPr>
              <w:adjustRightInd w:val="0"/>
              <w:spacing w:line="44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若发现打印版投标文件与上传文件不一致，造成的损失由中标人承担，出现严重后果的，招标人有权解除合同。</w:t>
            </w:r>
          </w:p>
        </w:tc>
      </w:tr>
      <w:tr w14:paraId="1C96212E">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825320D">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10.8</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1FD11231">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其它未尽事宜，按国家有关法律法规执行。</w:t>
            </w:r>
          </w:p>
        </w:tc>
      </w:tr>
      <w:tr w14:paraId="006913CB">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4870A2C9">
            <w:pPr>
              <w:adjustRightInd w:val="0"/>
              <w:spacing w:line="440" w:lineRule="exact"/>
              <w:jc w:val="center"/>
              <w:textAlignment w:val="baseline"/>
              <w:rPr>
                <w:rFonts w:ascii="仿宋" w:hAnsi="仿宋" w:eastAsia="仿宋" w:cs="仿宋"/>
                <w:color w:val="auto"/>
                <w:sz w:val="24"/>
                <w:highlight w:val="none"/>
              </w:rPr>
            </w:pPr>
            <w:bookmarkStart w:id="43" w:name="_Toc152045529"/>
            <w:bookmarkStart w:id="44" w:name="_Toc144974497"/>
            <w:bookmarkStart w:id="45" w:name="_Toc152042305"/>
            <w:r>
              <w:rPr>
                <w:rFonts w:hint="eastAsia" w:ascii="仿宋" w:hAnsi="仿宋" w:eastAsia="仿宋" w:cs="仿宋"/>
                <w:color w:val="auto"/>
                <w:sz w:val="24"/>
                <w:highlight w:val="none"/>
              </w:rPr>
              <w:t>10.9</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694DE442">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本项目清单为电子版，请投标单位登录洛阳市公共资源交易网-洛阳市电子招投标交易平台入口在线下载电子版清单。</w:t>
            </w:r>
          </w:p>
        </w:tc>
      </w:tr>
      <w:tr w14:paraId="28FCDA75">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100E65C9">
            <w:pPr>
              <w:adjustRightInd w:val="0"/>
              <w:spacing w:line="44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10.10</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627F26C8">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本项目图纸为电子版，请投标单位登录洛阳市公共资源交易网-洛阳市电子招投标交易平台入口在线下载电子版图纸。</w:t>
            </w:r>
          </w:p>
        </w:tc>
      </w:tr>
      <w:tr w14:paraId="4F750612">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14:paraId="22B8268E">
            <w:pPr>
              <w:adjustRightInd w:val="0"/>
              <w:spacing w:line="440" w:lineRule="exact"/>
              <w:jc w:val="center"/>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10.11</w:t>
            </w:r>
          </w:p>
        </w:tc>
        <w:tc>
          <w:tcPr>
            <w:tcW w:w="7867" w:type="dxa"/>
            <w:gridSpan w:val="2"/>
            <w:tcBorders>
              <w:top w:val="single" w:color="auto" w:sz="4" w:space="0"/>
              <w:left w:val="single" w:color="auto" w:sz="4" w:space="0"/>
              <w:bottom w:val="single" w:color="auto" w:sz="4" w:space="0"/>
              <w:right w:val="single" w:color="auto" w:sz="4" w:space="0"/>
            </w:tcBorders>
            <w:noWrap w:val="0"/>
            <w:vAlign w:val="center"/>
          </w:tcPr>
          <w:p w14:paraId="3F83994A">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根据《洛阳市住房和城乡建设局关于进一步做好房屋建筑和市政基础设施工程 电子投标文件雷同认定与处理的通知》（洛建〔2022〕47号），房屋建筑和市政基础设施工程数据电文形式投标文件（以下简称电子投标文件）的雷同认定如下：</w:t>
            </w:r>
          </w:p>
          <w:p w14:paraId="320F90EE">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一、开评标过程中，电子开评标系统提示不同投标人的电子投标文件记录的文件制作机器码、文件创建标识码、文件生成标识码、IP地址、计价软件电子加密锁锁号、计价软件电子加密锁 企业实名认证信息等软硬件信息中有一条及以上一致的，评标委员会应当对提示内容集体认定是否属于《中华人民共和国招标投标法实施条例》第四十条“视为投标人相互串通投标”第（一） 项“不同投标人的投标文件由同一单位或者个人编制”的情形。</w:t>
            </w:r>
          </w:p>
          <w:p w14:paraId="678D7C3A">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开评标过程中，电子开评标系统提示不同投标人的投标技术文件存在高度雷同、投标报价或报价组成出现一致或者呈规律性变化的，评标委员会应当对提示内容进行综合分析研判，集体认定是否属于《中华人民共和国招标投标法实施条例》第四十 条“视为投标人相互串通投标”第（四）项“不同投标人的投标 文件异常一致或者投标报价呈规律性差异”的情形。</w:t>
            </w:r>
          </w:p>
          <w:p w14:paraId="3AFE9759">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评标委员会在认定串通投标行为时，认为有必要的，可以要求投标人对有关情况作出书面澄清。经认定，属于《中华人民共和国招标投标法实施条例》第四十条“视为投标人相互串通投标”情形的，评标委员会应当按照《中华人民共和国招标投标法实施条例》第四十条和第五十一条第（七）项的规定否决相应投标人的投标，并在评标报告中进行记录。评标委员会应当对电子开评标系统作出的雷同性提示内容以及串通投标行为的认定情况，在评标报告中进行详细记录。招标人或其委托的招标代理机构应当对评标委员会关于串通投标行为的认定情况和否决投标情况在招标投标情况书面报告中作出说明。</w:t>
            </w:r>
          </w:p>
          <w:p w14:paraId="25F48DB2">
            <w:pPr>
              <w:adjustRightInd w:val="0"/>
              <w:spacing w:line="440" w:lineRule="exact"/>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电子开评标系统对不同投标人的电子投标文件作出雷同性提示或预警的，资格评审委员会或评标委员会集体表决认定属于《中华人民共和国招标投标法实施条例》第四十条“视为投标人相互串通投标”的情形，同时写出串（围）标行为认定报告并签字的，按废标处理。</w:t>
            </w:r>
          </w:p>
        </w:tc>
      </w:tr>
    </w:tbl>
    <w:p w14:paraId="4B4852EA">
      <w:pPr>
        <w:pStyle w:val="35"/>
        <w:spacing w:before="159" w:line="360" w:lineRule="auto"/>
        <w:rPr>
          <w:rFonts w:hint="eastAsia" w:ascii="仿宋" w:hAnsi="仿宋" w:cs="仿宋"/>
          <w:b/>
          <w:bCs/>
          <w:color w:val="auto"/>
          <w:highlight w:val="none"/>
        </w:rPr>
      </w:pPr>
      <w:bookmarkStart w:id="46" w:name="_Toc694"/>
      <w:bookmarkStart w:id="47" w:name="_Toc32190"/>
      <w:r>
        <w:rPr>
          <w:rFonts w:hint="eastAsia" w:ascii="仿宋" w:hAnsi="仿宋" w:cs="仿宋"/>
          <w:b/>
          <w:bCs/>
          <w:color w:val="auto"/>
          <w:highlight w:val="none"/>
        </w:rPr>
        <w:t>1、总则</w:t>
      </w:r>
      <w:bookmarkEnd w:id="43"/>
      <w:bookmarkEnd w:id="44"/>
      <w:bookmarkEnd w:id="45"/>
      <w:bookmarkEnd w:id="46"/>
      <w:bookmarkEnd w:id="47"/>
    </w:p>
    <w:p w14:paraId="52B25C97">
      <w:pPr>
        <w:pStyle w:val="52"/>
        <w:spacing w:line="360" w:lineRule="auto"/>
        <w:rPr>
          <w:rFonts w:hint="eastAsia" w:ascii="仿宋" w:hAnsi="仿宋" w:eastAsia="仿宋" w:cs="仿宋"/>
          <w:b/>
          <w:bCs/>
          <w:color w:val="auto"/>
          <w:highlight w:val="none"/>
        </w:rPr>
      </w:pPr>
      <w:bookmarkStart w:id="48" w:name="_Toc144974498"/>
      <w:bookmarkStart w:id="49" w:name="_Toc1748"/>
      <w:bookmarkStart w:id="50" w:name="_Toc106712832"/>
      <w:bookmarkStart w:id="51" w:name="_Toc8423530"/>
      <w:bookmarkStart w:id="52" w:name="_Toc25394"/>
      <w:bookmarkStart w:id="53" w:name="_Toc38209120"/>
      <w:bookmarkStart w:id="54" w:name="_Toc152045530"/>
      <w:bookmarkStart w:id="55" w:name="_Toc152042306"/>
      <w:bookmarkStart w:id="56" w:name="_Toc20994"/>
      <w:r>
        <w:rPr>
          <w:rFonts w:hint="eastAsia" w:ascii="仿宋" w:hAnsi="仿宋" w:eastAsia="仿宋" w:cs="仿宋"/>
          <w:b/>
          <w:bCs/>
          <w:color w:val="auto"/>
          <w:highlight w:val="none"/>
        </w:rPr>
        <w:t>1.1招标项目概况</w:t>
      </w:r>
      <w:bookmarkEnd w:id="48"/>
      <w:bookmarkEnd w:id="49"/>
      <w:bookmarkEnd w:id="50"/>
      <w:bookmarkEnd w:id="51"/>
      <w:bookmarkEnd w:id="52"/>
      <w:bookmarkEnd w:id="53"/>
      <w:bookmarkEnd w:id="54"/>
      <w:bookmarkEnd w:id="55"/>
      <w:bookmarkEnd w:id="56"/>
    </w:p>
    <w:p w14:paraId="35C7C8A4">
      <w:pPr>
        <w:pStyle w:val="53"/>
        <w:tabs>
          <w:tab w:val="left" w:pos="1294"/>
        </w:tabs>
        <w:spacing w:line="355" w:lineRule="auto"/>
        <w:ind w:left="0" w:right="78" w:firstLine="484" w:firstLineChars="202"/>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bidi="ar-SA"/>
        </w:rPr>
        <w:t>1.1.</w:t>
      </w:r>
      <w:r>
        <w:rPr>
          <w:rFonts w:hint="eastAsia" w:ascii="仿宋" w:hAnsi="仿宋" w:eastAsia="仿宋" w:cs="仿宋"/>
          <w:color w:val="auto"/>
          <w:kern w:val="2"/>
          <w:sz w:val="24"/>
          <w:szCs w:val="24"/>
          <w:highlight w:val="none"/>
          <w:lang w:val="en-US" w:eastAsia="zh-CN" w:bidi="ar-SA"/>
        </w:rPr>
        <w:t>1参考</w:t>
      </w:r>
      <w:r>
        <w:rPr>
          <w:rFonts w:hint="eastAsia" w:ascii="仿宋" w:hAnsi="仿宋" w:eastAsia="仿宋" w:cs="仿宋"/>
          <w:color w:val="auto"/>
          <w:sz w:val="24"/>
          <w:szCs w:val="24"/>
          <w:highlight w:val="none"/>
        </w:rPr>
        <w:t>《中华人民共和国招标投标法》《中华人民共和国招标投标法实施条例》等有关法律、法规和规章的规定，本招标项目已具备招标条件，现对本项目</w:t>
      </w:r>
      <w:r>
        <w:rPr>
          <w:rFonts w:hint="eastAsia" w:ascii="仿宋" w:hAnsi="仿宋" w:eastAsia="仿宋" w:cs="仿宋"/>
          <w:color w:val="auto"/>
          <w:sz w:val="24"/>
          <w:szCs w:val="24"/>
          <w:highlight w:val="none"/>
          <w:lang w:val="en-US"/>
        </w:rPr>
        <w:t>设备</w:t>
      </w:r>
      <w:r>
        <w:rPr>
          <w:rFonts w:hint="eastAsia" w:ascii="仿宋" w:hAnsi="仿宋" w:eastAsia="仿宋" w:cs="仿宋"/>
          <w:color w:val="auto"/>
          <w:sz w:val="24"/>
          <w:szCs w:val="24"/>
          <w:highlight w:val="none"/>
        </w:rPr>
        <w:t>采购进行招标。</w:t>
      </w:r>
    </w:p>
    <w:p w14:paraId="44328B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1.1.2招标人：见投标人须知前附表。</w:t>
      </w:r>
    </w:p>
    <w:p w14:paraId="141259C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1.1.3招标代理机构：见投标人须知前附表。</w:t>
      </w:r>
    </w:p>
    <w:p w14:paraId="73E40C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1.1.4项目名称：见投标人须知前附表。</w:t>
      </w:r>
    </w:p>
    <w:p w14:paraId="5DB7A9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一标段、二标段支持中小微企业（监狱企业、残疾人福利性企业视同小微企业）；以工代赈、执行绿色节约能源、保护环境、落实绿色建筑、绿色建材、扶持不发达地区和少数民族地区、促进自主创新产业发展。</w:t>
      </w:r>
    </w:p>
    <w:p w14:paraId="4AB7F7A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依据洛财购【2021】1号</w:t>
      </w:r>
      <w:r>
        <w:rPr>
          <w:rFonts w:hint="eastAsia" w:ascii="仿宋" w:hAnsi="仿宋" w:eastAsia="仿宋" w:cs="仿宋"/>
          <w:color w:val="auto"/>
          <w:sz w:val="24"/>
          <w:highlight w:val="none"/>
          <w:lang w:eastAsia="zh-CN"/>
        </w:rPr>
        <w:t>及洛财购【202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rPr>
        <w:t>文件精神，根据财政部工业和信息化部《政府采购促进中小企业发展管理办法》（财库〔2020〕46号）的规定：</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为小微企业</w:t>
      </w:r>
      <w:r>
        <w:rPr>
          <w:rFonts w:hint="eastAsia" w:ascii="仿宋" w:hAnsi="仿宋" w:eastAsia="仿宋" w:cs="仿宋"/>
          <w:color w:val="auto"/>
          <w:sz w:val="24"/>
          <w:highlight w:val="none"/>
          <w:lang w:val="en-US" w:eastAsia="zh-CN"/>
        </w:rPr>
        <w:t>或监狱企业或残疾人福利企业</w:t>
      </w:r>
      <w:r>
        <w:rPr>
          <w:rFonts w:hint="eastAsia" w:ascii="仿宋" w:hAnsi="仿宋" w:eastAsia="仿宋" w:cs="仿宋"/>
          <w:color w:val="auto"/>
          <w:sz w:val="24"/>
          <w:highlight w:val="none"/>
        </w:rPr>
        <w:t>的，评标时应当在采用原报价进行评分的基础上增加其价格得分的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%作为其价格分。计算公式如下：</w:t>
      </w:r>
    </w:p>
    <w:p w14:paraId="4342AE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小微企业投标报价得分=采用原报价评审得分×5%。</w:t>
      </w:r>
    </w:p>
    <w:p w14:paraId="0FF229E0">
      <w:pPr>
        <w:pStyle w:val="52"/>
        <w:spacing w:line="360" w:lineRule="auto"/>
        <w:rPr>
          <w:rFonts w:hint="eastAsia" w:ascii="仿宋" w:hAnsi="仿宋" w:eastAsia="仿宋" w:cs="仿宋"/>
          <w:b/>
          <w:bCs/>
          <w:color w:val="auto"/>
          <w:highlight w:val="none"/>
        </w:rPr>
      </w:pPr>
      <w:bookmarkStart w:id="57" w:name="_Toc152042307"/>
      <w:bookmarkStart w:id="58" w:name="_Toc8191"/>
      <w:bookmarkStart w:id="59" w:name="_Toc38209121"/>
      <w:bookmarkStart w:id="60" w:name="_Toc9377"/>
      <w:bookmarkStart w:id="61" w:name="_Toc15452"/>
      <w:bookmarkStart w:id="62" w:name="_Toc106712833"/>
      <w:bookmarkStart w:id="63" w:name="_Toc8423531"/>
      <w:bookmarkStart w:id="64" w:name="_Toc152045531"/>
      <w:bookmarkStart w:id="65" w:name="_Toc144974499"/>
      <w:r>
        <w:rPr>
          <w:rFonts w:hint="eastAsia" w:ascii="仿宋" w:hAnsi="仿宋" w:eastAsia="仿宋" w:cs="仿宋"/>
          <w:b/>
          <w:bCs/>
          <w:color w:val="auto"/>
          <w:highlight w:val="none"/>
        </w:rPr>
        <w:t>1.2资金来源和落实情况</w:t>
      </w:r>
      <w:bookmarkEnd w:id="57"/>
      <w:bookmarkEnd w:id="58"/>
      <w:bookmarkEnd w:id="59"/>
      <w:bookmarkEnd w:id="60"/>
      <w:bookmarkEnd w:id="61"/>
      <w:bookmarkEnd w:id="62"/>
      <w:bookmarkEnd w:id="63"/>
      <w:bookmarkEnd w:id="64"/>
      <w:bookmarkEnd w:id="65"/>
    </w:p>
    <w:p w14:paraId="66DA1F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1.2.1本招标项目的资金来源及比例：见投标人须知前附表。</w:t>
      </w:r>
    </w:p>
    <w:p w14:paraId="7FDFDD0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1.2.2本招标项目的资金落实情况：见投标人须知前附表。</w:t>
      </w:r>
    </w:p>
    <w:p w14:paraId="753E8B56">
      <w:pPr>
        <w:spacing w:line="360" w:lineRule="auto"/>
        <w:ind w:firstLine="480" w:firstLineChars="200"/>
        <w:rPr>
          <w:rFonts w:hint="eastAsia" w:ascii="Times New Roman" w:hAnsi="Times New Roman" w:eastAsia="宋体" w:cs="Times New Roman"/>
          <w:color w:val="auto"/>
          <w:sz w:val="24"/>
          <w:highlight w:val="none"/>
        </w:rPr>
      </w:pPr>
      <w:r>
        <w:rPr>
          <w:rFonts w:hint="eastAsia" w:ascii="仿宋" w:hAnsi="仿宋" w:eastAsia="仿宋" w:cs="仿宋"/>
          <w:color w:val="auto"/>
          <w:sz w:val="24"/>
          <w:highlight w:val="none"/>
        </w:rPr>
        <w:t>1.2.3本招标项目的项目编号：见投标人须知前附表。</w:t>
      </w:r>
    </w:p>
    <w:p w14:paraId="7DB91321">
      <w:pPr>
        <w:pStyle w:val="52"/>
        <w:spacing w:line="360" w:lineRule="auto"/>
        <w:rPr>
          <w:rFonts w:hint="eastAsia" w:ascii="仿宋" w:hAnsi="仿宋" w:eastAsia="仿宋" w:cs="仿宋"/>
          <w:b/>
          <w:bCs/>
          <w:color w:val="auto"/>
          <w:highlight w:val="none"/>
        </w:rPr>
      </w:pPr>
      <w:bookmarkStart w:id="66" w:name="_Toc8423532"/>
      <w:bookmarkStart w:id="67" w:name="_Toc152042308"/>
      <w:bookmarkStart w:id="68" w:name="_Toc152045532"/>
      <w:bookmarkStart w:id="69" w:name="_Toc144974500"/>
      <w:bookmarkStart w:id="70" w:name="_Toc38209122"/>
      <w:bookmarkStart w:id="71" w:name="_Toc106712834"/>
      <w:bookmarkStart w:id="72" w:name="_Toc24443"/>
      <w:bookmarkStart w:id="73" w:name="_Toc9056"/>
      <w:bookmarkStart w:id="74" w:name="_Toc22463"/>
      <w:r>
        <w:rPr>
          <w:rFonts w:hint="eastAsia" w:ascii="仿宋" w:hAnsi="仿宋" w:eastAsia="仿宋" w:cs="仿宋"/>
          <w:b/>
          <w:bCs/>
          <w:color w:val="auto"/>
          <w:highlight w:val="none"/>
        </w:rPr>
        <w:t>1.3招标范围、工期、建设地点和</w:t>
      </w:r>
      <w:bookmarkEnd w:id="66"/>
      <w:bookmarkEnd w:id="67"/>
      <w:bookmarkEnd w:id="68"/>
      <w:bookmarkEnd w:id="69"/>
      <w:r>
        <w:rPr>
          <w:rFonts w:hint="eastAsia" w:ascii="仿宋" w:hAnsi="仿宋" w:eastAsia="仿宋" w:cs="仿宋"/>
          <w:b/>
          <w:bCs/>
          <w:color w:val="auto"/>
          <w:highlight w:val="none"/>
        </w:rPr>
        <w:t>质量标准等</w:t>
      </w:r>
      <w:bookmarkEnd w:id="70"/>
      <w:bookmarkEnd w:id="71"/>
      <w:bookmarkEnd w:id="72"/>
      <w:bookmarkEnd w:id="73"/>
      <w:bookmarkEnd w:id="74"/>
    </w:p>
    <w:p w14:paraId="54F1C7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1.3.1本招标项目的招标范围：见投标人须知前附表。</w:t>
      </w:r>
    </w:p>
    <w:p w14:paraId="59DEC41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1.3.2本招标项目的工期：见投标人须知前附表。</w:t>
      </w:r>
    </w:p>
    <w:p w14:paraId="62C849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1.3.3本招标项目的建设地点：见投标人须知前附表。</w:t>
      </w:r>
    </w:p>
    <w:p w14:paraId="78B32A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1.3.4本招标项目的质量标准：见投标人须知前附表。</w:t>
      </w:r>
    </w:p>
    <w:p w14:paraId="04B9B0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本招标项目的安全目标：见投标人须知前附表。</w:t>
      </w:r>
    </w:p>
    <w:p w14:paraId="00DB5C4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6本招标项目的文明工地目标：见投标人须知前附表。</w:t>
      </w:r>
    </w:p>
    <w:p w14:paraId="4692F0E9">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1.3.7</w:t>
      </w:r>
      <w:r>
        <w:rPr>
          <w:rFonts w:hint="eastAsia" w:ascii="仿宋" w:hAnsi="仿宋" w:eastAsia="仿宋" w:cs="仿宋"/>
          <w:color w:val="auto"/>
          <w:sz w:val="24"/>
          <w:highlight w:val="none"/>
        </w:rPr>
        <w:t>本招标项目的扬尘防治目标：见投标人须知前附表。</w:t>
      </w:r>
    </w:p>
    <w:p w14:paraId="6E63EA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本招标项目的标段划分：见投标人须知前附表。</w:t>
      </w:r>
    </w:p>
    <w:p w14:paraId="78ADE1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本招标项目的缺陷责任期：见投标人须知前附表。</w:t>
      </w:r>
    </w:p>
    <w:p w14:paraId="5521F0DC">
      <w:pPr>
        <w:spacing w:line="360" w:lineRule="auto"/>
        <w:ind w:firstLine="480" w:firstLineChars="200"/>
        <w:rPr>
          <w:rFonts w:hint="eastAsia" w:ascii="Times New Roman" w:hAnsi="Times New Roman" w:eastAsia="宋体" w:cs="Times New Roman"/>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本招标项目的履约验收：见投标人须知前附表。</w:t>
      </w:r>
    </w:p>
    <w:p w14:paraId="66CC506A">
      <w:pPr>
        <w:pStyle w:val="52"/>
        <w:spacing w:line="360" w:lineRule="auto"/>
        <w:rPr>
          <w:rFonts w:hint="eastAsia" w:ascii="仿宋" w:hAnsi="仿宋" w:eastAsia="仿宋" w:cs="仿宋"/>
          <w:b/>
          <w:bCs/>
          <w:color w:val="auto"/>
          <w:highlight w:val="none"/>
        </w:rPr>
      </w:pPr>
      <w:bookmarkStart w:id="75" w:name="_Toc21674"/>
      <w:bookmarkStart w:id="76" w:name="_Toc38209123"/>
      <w:bookmarkStart w:id="77" w:name="_Toc152045534"/>
      <w:bookmarkStart w:id="78" w:name="_Toc8423533"/>
      <w:bookmarkStart w:id="79" w:name="_Toc3248"/>
      <w:bookmarkStart w:id="80" w:name="_Toc152042310"/>
      <w:bookmarkStart w:id="81" w:name="_Toc106712835"/>
      <w:bookmarkStart w:id="82" w:name="_Toc29376"/>
      <w:bookmarkStart w:id="83" w:name="_Toc144974502"/>
      <w:r>
        <w:rPr>
          <w:rFonts w:hint="eastAsia" w:ascii="仿宋" w:hAnsi="仿宋" w:eastAsia="仿宋" w:cs="仿宋"/>
          <w:b/>
          <w:bCs/>
          <w:color w:val="auto"/>
          <w:highlight w:val="none"/>
        </w:rPr>
        <w:t>1.4投标人资格要求</w:t>
      </w:r>
      <w:bookmarkEnd w:id="75"/>
      <w:bookmarkEnd w:id="76"/>
      <w:bookmarkEnd w:id="77"/>
      <w:bookmarkEnd w:id="78"/>
      <w:bookmarkEnd w:id="79"/>
      <w:bookmarkEnd w:id="80"/>
      <w:bookmarkEnd w:id="81"/>
      <w:bookmarkEnd w:id="82"/>
      <w:bookmarkEnd w:id="83"/>
    </w:p>
    <w:p w14:paraId="7C68A88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1.4.1投标人应具备承担本项目的资质条件：见投标人须知前附表；</w:t>
      </w:r>
    </w:p>
    <w:p w14:paraId="1CE6CA3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1.4.2投标人须知前附表规定接受联合体投标的，除应符合本章第1.4.1项和投标人须知前附表的要求外，还应遵守以下规定：</w:t>
      </w:r>
    </w:p>
    <w:p w14:paraId="6499C6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（1）联合体各方应按招标文件提供的格式签订联合体协议书，明确联合体牵头人和各方权利义务，并承诺就中标项目向招标人承担连带责任；</w:t>
      </w:r>
    </w:p>
    <w:p w14:paraId="45D5CB5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（2）由同一专业的单位组成的联合体，按照资质等级较低的单位确定资质等级；</w:t>
      </w:r>
    </w:p>
    <w:p w14:paraId="5F3186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（3）联合体各方不得</w:t>
      </w:r>
      <w:r>
        <w:rPr>
          <w:rFonts w:hint="eastAsia" w:ascii="仿宋" w:hAnsi="仿宋" w:eastAsia="仿宋" w:cs="仿宋"/>
          <w:color w:val="auto"/>
          <w:spacing w:val="-4"/>
          <w:sz w:val="24"/>
          <w:highlight w:val="none"/>
        </w:rPr>
        <w:t>再以自己名义单独或参加其他联合体在本招标项目中投标，否则各相</w:t>
      </w:r>
      <w:r>
        <w:rPr>
          <w:rFonts w:hint="eastAsia" w:ascii="仿宋" w:hAnsi="仿宋" w:eastAsia="仿宋" w:cs="仿宋"/>
          <w:color w:val="auto"/>
          <w:spacing w:val="-2"/>
          <w:sz w:val="24"/>
          <w:highlight w:val="none"/>
        </w:rPr>
        <w:t>关投标均无效。</w:t>
      </w:r>
    </w:p>
    <w:p w14:paraId="7EC76E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1.4.3投标人不得存在下列情形之一：</w:t>
      </w:r>
    </w:p>
    <w:p w14:paraId="4F8E6CB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（1）与招标人存在利害关系且可能影响招标公正性；</w:t>
      </w:r>
    </w:p>
    <w:p w14:paraId="0EA493D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（2）与本招标项目的其他投标人为同一个单位负责人；</w:t>
      </w:r>
    </w:p>
    <w:p w14:paraId="552ED0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（3）与本招标项目的其他投标人存在控股、管理关系；</w:t>
      </w:r>
    </w:p>
    <w:p w14:paraId="2D68A3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（4）投标人单位负责人为同一人或者存在控股、管理关系的不同单位，参加同一标段投标或者未划分标段的统一招标项目投标；</w:t>
      </w:r>
    </w:p>
    <w:p w14:paraId="0740071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（5）为本招标项目提供过设计、编制技术规范和其他文件的咨询服务；</w:t>
      </w:r>
    </w:p>
    <w:p w14:paraId="1D77A3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（6）为本工程项目的相关监理人，或者与本工程项目的相关监理人存在隶属关系或者其他利害关系；</w:t>
      </w:r>
    </w:p>
    <w:p w14:paraId="3D71C5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（7）为本招标项目的代建人；</w:t>
      </w:r>
    </w:p>
    <w:p w14:paraId="23E0A3E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（8）为本招标项目的招标代理机构；</w:t>
      </w:r>
    </w:p>
    <w:p w14:paraId="0A39CD6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（9）与本招标项目的监理人或代建人或招标代理机构同为一个法定代表人；</w:t>
      </w:r>
    </w:p>
    <w:p w14:paraId="5B434E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（10）与本招标项目的监理人或代建人或招标代理机构存在控股或参股关系；</w:t>
      </w:r>
    </w:p>
    <w:p w14:paraId="75582A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（11）被依法暂停或者取消投标资格；</w:t>
      </w:r>
    </w:p>
    <w:p w14:paraId="16F2B3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（12）被责令停产停业、暂扣或者吊销许可证、暂扣或者吊销执照；</w:t>
      </w:r>
    </w:p>
    <w:p w14:paraId="5E31CC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（13）进入清算程序，或被宣告破产，或其他丧失履约能力的情形；</w:t>
      </w:r>
    </w:p>
    <w:p w14:paraId="166243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（14）被列入“信用中国”网站的“严重失信主体名单”、“重大税收违法失信主体”；</w:t>
      </w:r>
    </w:p>
    <w:p w14:paraId="7B6B3D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（15）近三年内投标人有行贿犯罪行为的</w:t>
      </w:r>
      <w:r>
        <w:rPr>
          <w:rFonts w:hint="eastAsia" w:ascii="仿宋" w:hAnsi="仿宋" w:eastAsia="仿宋" w:cs="仿宋"/>
          <w:color w:val="auto"/>
          <w:sz w:val="24"/>
          <w:highlight w:val="none"/>
          <w:lang w:eastAsia="zh-CN"/>
        </w:rPr>
        <w:t>；</w:t>
      </w:r>
    </w:p>
    <w:p w14:paraId="483B672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（16）单位负责人为同一人或者存在控股、管理关系的不同单位，不得同时对本项目投标；</w:t>
      </w:r>
    </w:p>
    <w:p w14:paraId="0F634698">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（17）与招标人存在利害关系可能影响招标公正性的法人、其他组织或者个人的，不得参加本项目投标</w:t>
      </w:r>
      <w:r>
        <w:rPr>
          <w:rFonts w:hint="eastAsia" w:ascii="仿宋" w:hAnsi="仿宋" w:eastAsia="仿宋" w:cs="仿宋"/>
          <w:color w:val="auto"/>
          <w:sz w:val="24"/>
          <w:highlight w:val="none"/>
          <w:lang w:eastAsia="zh-CN"/>
        </w:rPr>
        <w:t>；</w:t>
      </w:r>
    </w:p>
    <w:p w14:paraId="669067D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（18）法律法规或投标人须知前附表规定的其他情形。</w:t>
      </w:r>
    </w:p>
    <w:p w14:paraId="4A3F1FA5">
      <w:pPr>
        <w:pStyle w:val="52"/>
        <w:spacing w:line="360" w:lineRule="auto"/>
        <w:rPr>
          <w:rFonts w:hint="eastAsia" w:ascii="仿宋" w:hAnsi="仿宋" w:eastAsia="仿宋" w:cs="仿宋"/>
          <w:b/>
          <w:bCs/>
          <w:color w:val="auto"/>
          <w:highlight w:val="none"/>
        </w:rPr>
      </w:pPr>
      <w:bookmarkStart w:id="84" w:name="_Toc8423534"/>
      <w:bookmarkStart w:id="85" w:name="_Toc144974503"/>
      <w:bookmarkStart w:id="86" w:name="_Toc106712836"/>
      <w:bookmarkStart w:id="87" w:name="_Toc152042311"/>
      <w:bookmarkStart w:id="88" w:name="_Toc152045535"/>
      <w:bookmarkStart w:id="89" w:name="_Toc38209124"/>
      <w:bookmarkStart w:id="90" w:name="_Toc21830"/>
      <w:bookmarkStart w:id="91" w:name="_Toc11191"/>
      <w:bookmarkStart w:id="92" w:name="_Toc5162"/>
      <w:r>
        <w:rPr>
          <w:rFonts w:hint="eastAsia" w:ascii="仿宋" w:hAnsi="仿宋" w:eastAsia="仿宋" w:cs="仿宋"/>
          <w:b/>
          <w:bCs/>
          <w:color w:val="auto"/>
          <w:highlight w:val="none"/>
        </w:rPr>
        <w:t>1.5费用承担</w:t>
      </w:r>
      <w:bookmarkEnd w:id="84"/>
      <w:bookmarkEnd w:id="85"/>
      <w:bookmarkEnd w:id="86"/>
      <w:bookmarkEnd w:id="87"/>
      <w:bookmarkEnd w:id="88"/>
      <w:bookmarkEnd w:id="89"/>
      <w:bookmarkEnd w:id="90"/>
      <w:bookmarkEnd w:id="91"/>
      <w:bookmarkEnd w:id="92"/>
    </w:p>
    <w:p w14:paraId="1313C677">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投标人准备和参加投标活动发生的费用自理。</w:t>
      </w:r>
    </w:p>
    <w:p w14:paraId="510D485C">
      <w:pPr>
        <w:pStyle w:val="52"/>
        <w:spacing w:line="360" w:lineRule="auto"/>
        <w:rPr>
          <w:rFonts w:hint="eastAsia" w:ascii="仿宋" w:hAnsi="仿宋" w:eastAsia="仿宋" w:cs="仿宋"/>
          <w:b/>
          <w:bCs/>
          <w:color w:val="auto"/>
          <w:highlight w:val="none"/>
        </w:rPr>
      </w:pPr>
      <w:bookmarkStart w:id="93" w:name="_Toc3893"/>
      <w:bookmarkStart w:id="94" w:name="_Toc152042312"/>
      <w:bookmarkStart w:id="95" w:name="_Toc144974504"/>
      <w:bookmarkStart w:id="96" w:name="_Toc38209125"/>
      <w:bookmarkStart w:id="97" w:name="_Toc8423535"/>
      <w:bookmarkStart w:id="98" w:name="_Toc106712837"/>
      <w:bookmarkStart w:id="99" w:name="_Toc1986"/>
      <w:bookmarkStart w:id="100" w:name="_Toc12469"/>
      <w:bookmarkStart w:id="101" w:name="_Toc152045536"/>
      <w:r>
        <w:rPr>
          <w:rFonts w:hint="eastAsia" w:ascii="仿宋" w:hAnsi="仿宋" w:eastAsia="仿宋" w:cs="仿宋"/>
          <w:b/>
          <w:bCs/>
          <w:color w:val="auto"/>
          <w:highlight w:val="none"/>
        </w:rPr>
        <w:t>1.6保密</w:t>
      </w:r>
      <w:bookmarkEnd w:id="93"/>
      <w:bookmarkEnd w:id="94"/>
      <w:bookmarkEnd w:id="95"/>
      <w:bookmarkEnd w:id="96"/>
      <w:bookmarkEnd w:id="97"/>
      <w:bookmarkEnd w:id="98"/>
      <w:bookmarkEnd w:id="99"/>
      <w:bookmarkEnd w:id="100"/>
      <w:bookmarkEnd w:id="101"/>
    </w:p>
    <w:p w14:paraId="312E3E34">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 xml:space="preserve">参与招标投标活动的各方应对招标文件和投标文件中的商业和技术等秘密保密，违者应对由此造成的后果承担法律责任。 </w:t>
      </w:r>
    </w:p>
    <w:p w14:paraId="3FF7F2A1">
      <w:pPr>
        <w:pStyle w:val="52"/>
        <w:spacing w:line="360" w:lineRule="auto"/>
        <w:rPr>
          <w:rFonts w:hint="eastAsia" w:ascii="仿宋" w:hAnsi="仿宋" w:eastAsia="仿宋" w:cs="仿宋"/>
          <w:b/>
          <w:bCs/>
          <w:color w:val="auto"/>
          <w:highlight w:val="none"/>
        </w:rPr>
      </w:pPr>
      <w:bookmarkStart w:id="102" w:name="_Toc144974505"/>
      <w:bookmarkStart w:id="103" w:name="_Toc38209126"/>
      <w:bookmarkStart w:id="104" w:name="_Toc152042313"/>
      <w:bookmarkStart w:id="105" w:name="_Toc21026"/>
      <w:bookmarkStart w:id="106" w:name="_Toc8423536"/>
      <w:bookmarkStart w:id="107" w:name="_Toc14721"/>
      <w:bookmarkStart w:id="108" w:name="_Toc106712838"/>
      <w:bookmarkStart w:id="109" w:name="_Toc152045537"/>
      <w:bookmarkStart w:id="110" w:name="_Toc2177"/>
      <w:r>
        <w:rPr>
          <w:rFonts w:hint="eastAsia" w:ascii="仿宋" w:hAnsi="仿宋" w:eastAsia="仿宋" w:cs="仿宋"/>
          <w:b/>
          <w:bCs/>
          <w:color w:val="auto"/>
          <w:highlight w:val="none"/>
        </w:rPr>
        <w:t>1.7语言</w:t>
      </w:r>
      <w:bookmarkEnd w:id="102"/>
      <w:r>
        <w:rPr>
          <w:rFonts w:hint="eastAsia" w:ascii="仿宋" w:hAnsi="仿宋" w:eastAsia="仿宋" w:cs="仿宋"/>
          <w:b/>
          <w:bCs/>
          <w:color w:val="auto"/>
          <w:highlight w:val="none"/>
        </w:rPr>
        <w:t>文字</w:t>
      </w:r>
      <w:bookmarkEnd w:id="103"/>
      <w:bookmarkEnd w:id="104"/>
      <w:bookmarkEnd w:id="105"/>
      <w:bookmarkEnd w:id="106"/>
      <w:bookmarkEnd w:id="107"/>
      <w:bookmarkEnd w:id="108"/>
      <w:bookmarkEnd w:id="109"/>
      <w:bookmarkEnd w:id="110"/>
    </w:p>
    <w:p w14:paraId="2CD7F68C">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除专用术语外，与招标投标有关的语言均使用中文。必要时专用术语应附有中文注释。</w:t>
      </w:r>
    </w:p>
    <w:p w14:paraId="19D106FE">
      <w:pPr>
        <w:pStyle w:val="52"/>
        <w:spacing w:line="360" w:lineRule="auto"/>
        <w:rPr>
          <w:rFonts w:hint="eastAsia" w:ascii="仿宋" w:hAnsi="仿宋" w:eastAsia="仿宋" w:cs="仿宋"/>
          <w:b/>
          <w:bCs/>
          <w:color w:val="auto"/>
          <w:highlight w:val="none"/>
        </w:rPr>
      </w:pPr>
      <w:bookmarkStart w:id="111" w:name="_Toc144974506"/>
      <w:bookmarkStart w:id="112" w:name="_Toc8567"/>
      <w:bookmarkStart w:id="113" w:name="_Toc106712839"/>
      <w:bookmarkStart w:id="114" w:name="_Toc152045538"/>
      <w:bookmarkStart w:id="115" w:name="_Toc152042314"/>
      <w:bookmarkStart w:id="116" w:name="_Toc16580"/>
      <w:bookmarkStart w:id="117" w:name="_Toc38209127"/>
      <w:bookmarkStart w:id="118" w:name="_Toc4411"/>
      <w:bookmarkStart w:id="119" w:name="_Toc8423537"/>
      <w:r>
        <w:rPr>
          <w:rFonts w:hint="eastAsia" w:ascii="仿宋" w:hAnsi="仿宋" w:eastAsia="仿宋" w:cs="仿宋"/>
          <w:b/>
          <w:bCs/>
          <w:color w:val="auto"/>
          <w:highlight w:val="none"/>
        </w:rPr>
        <w:t>1.8计量单位</w:t>
      </w:r>
      <w:bookmarkEnd w:id="111"/>
      <w:bookmarkEnd w:id="112"/>
      <w:bookmarkEnd w:id="113"/>
      <w:bookmarkEnd w:id="114"/>
      <w:bookmarkEnd w:id="115"/>
      <w:bookmarkEnd w:id="116"/>
      <w:bookmarkEnd w:id="117"/>
      <w:bookmarkEnd w:id="118"/>
      <w:bookmarkEnd w:id="119"/>
    </w:p>
    <w:p w14:paraId="5B9423D0">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所有计量均采用中华人民共和国法定计量单位。</w:t>
      </w:r>
    </w:p>
    <w:p w14:paraId="0CE91DE5">
      <w:pPr>
        <w:pStyle w:val="52"/>
        <w:spacing w:line="360" w:lineRule="auto"/>
        <w:rPr>
          <w:rFonts w:hint="eastAsia" w:ascii="仿宋" w:hAnsi="仿宋" w:eastAsia="仿宋" w:cs="仿宋"/>
          <w:b/>
          <w:bCs/>
          <w:color w:val="auto"/>
          <w:highlight w:val="none"/>
        </w:rPr>
      </w:pPr>
      <w:bookmarkStart w:id="120" w:name="_Toc7984"/>
      <w:bookmarkStart w:id="121" w:name="_Toc17777"/>
      <w:bookmarkStart w:id="122" w:name="_Toc38209128"/>
      <w:bookmarkStart w:id="123" w:name="_Toc152045540"/>
      <w:bookmarkStart w:id="124" w:name="_Toc4148"/>
      <w:bookmarkStart w:id="125" w:name="_Toc106712840"/>
      <w:bookmarkStart w:id="126" w:name="_Toc152042316"/>
      <w:bookmarkStart w:id="127" w:name="_Toc144974508"/>
      <w:bookmarkStart w:id="128" w:name="_Toc8423539"/>
      <w:r>
        <w:rPr>
          <w:rFonts w:hint="eastAsia" w:ascii="仿宋" w:hAnsi="仿宋" w:eastAsia="仿宋" w:cs="仿宋"/>
          <w:b/>
          <w:bCs/>
          <w:color w:val="auto"/>
          <w:highlight w:val="none"/>
        </w:rPr>
        <w:t>1.9勘察施工现场、投标预备会</w:t>
      </w:r>
      <w:bookmarkEnd w:id="120"/>
      <w:bookmarkEnd w:id="121"/>
      <w:bookmarkEnd w:id="122"/>
      <w:bookmarkEnd w:id="123"/>
      <w:bookmarkEnd w:id="124"/>
      <w:bookmarkEnd w:id="125"/>
      <w:bookmarkEnd w:id="126"/>
      <w:bookmarkEnd w:id="127"/>
      <w:bookmarkEnd w:id="128"/>
    </w:p>
    <w:p w14:paraId="0412F93C">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1.9.1招标人不组织勘察施工现场，投标人可自行前往现场勘察，具体要求详见投标人须知前附表。</w:t>
      </w:r>
    </w:p>
    <w:p w14:paraId="5CE8269B">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1.9.2投标人须知前附表规定召开投标预备会的，招标人按投标人须知前附表规定的时间和地点召开投标预备会，澄清投标人提出的问题。</w:t>
      </w:r>
    </w:p>
    <w:p w14:paraId="04B7F382">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1.9.3投标人应在投标人须知前附表规定的时间前，</w:t>
      </w:r>
      <w:r>
        <w:rPr>
          <w:rFonts w:hint="eastAsia" w:ascii="仿宋" w:hAnsi="仿宋" w:eastAsia="仿宋" w:cs="仿宋"/>
          <w:color w:val="auto"/>
          <w:sz w:val="24"/>
          <w:highlight w:val="none"/>
        </w:rPr>
        <w:t>投标人或者其他利害关系人对招标文件有疑问的，应当在递交投标截止时间10日前通过交易系统内向招标人或招标代理机构提交疑问函(法定代表人签字并加盖单位公章)并致电告知，</w:t>
      </w:r>
      <w:r>
        <w:rPr>
          <w:rFonts w:hint="eastAsia" w:ascii="仿宋" w:hAnsi="仿宋" w:eastAsia="仿宋" w:cs="仿宋"/>
          <w:color w:val="auto"/>
          <w:sz w:val="24"/>
          <w:szCs w:val="32"/>
          <w:highlight w:val="none"/>
        </w:rPr>
        <w:t>以便招标人澄清。</w:t>
      </w:r>
    </w:p>
    <w:p w14:paraId="4DAE6F97">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1.9.4投标预备会后，招标人在投标人须知前附表规定的时间内，将对投标人所提问题的澄清，以书面方式通知所有购买招标文件的投标人。该澄清内容为招标文件的组成部分。</w:t>
      </w:r>
    </w:p>
    <w:p w14:paraId="2D6BF5EE">
      <w:pPr>
        <w:pStyle w:val="52"/>
        <w:spacing w:line="360" w:lineRule="auto"/>
        <w:rPr>
          <w:rFonts w:hint="eastAsia" w:ascii="仿宋" w:hAnsi="仿宋" w:eastAsia="仿宋" w:cs="仿宋"/>
          <w:b/>
          <w:bCs/>
          <w:color w:val="auto"/>
          <w:highlight w:val="none"/>
        </w:rPr>
      </w:pPr>
      <w:bookmarkStart w:id="129" w:name="_Toc144974509"/>
      <w:bookmarkStart w:id="130" w:name="_Toc152045541"/>
      <w:bookmarkStart w:id="131" w:name="_Toc21311"/>
      <w:bookmarkStart w:id="132" w:name="_Toc8423540"/>
      <w:bookmarkStart w:id="133" w:name="_Toc38209129"/>
      <w:bookmarkStart w:id="134" w:name="_Toc106712841"/>
      <w:bookmarkStart w:id="135" w:name="_Toc152042317"/>
      <w:bookmarkStart w:id="136" w:name="_Toc23841"/>
      <w:bookmarkStart w:id="137" w:name="_Toc22954"/>
      <w:r>
        <w:rPr>
          <w:rFonts w:hint="eastAsia" w:ascii="仿宋" w:hAnsi="仿宋" w:eastAsia="仿宋" w:cs="仿宋"/>
          <w:b/>
          <w:bCs/>
          <w:color w:val="auto"/>
          <w:highlight w:val="none"/>
        </w:rPr>
        <w:t>1.10分包</w:t>
      </w:r>
      <w:bookmarkEnd w:id="129"/>
      <w:bookmarkEnd w:id="130"/>
      <w:bookmarkEnd w:id="131"/>
      <w:bookmarkEnd w:id="132"/>
      <w:bookmarkEnd w:id="133"/>
      <w:bookmarkEnd w:id="134"/>
      <w:bookmarkEnd w:id="135"/>
      <w:bookmarkEnd w:id="136"/>
      <w:bookmarkEnd w:id="137"/>
    </w:p>
    <w:p w14:paraId="67CAC212">
      <w:pPr>
        <w:spacing w:line="360" w:lineRule="auto"/>
        <w:ind w:firstLine="464" w:firstLineChars="200"/>
        <w:rPr>
          <w:rFonts w:hint="eastAsia" w:ascii="仿宋" w:hAnsi="仿宋" w:eastAsia="仿宋" w:cs="仿宋"/>
          <w:color w:val="auto"/>
          <w:spacing w:val="-4"/>
          <w:kern w:val="0"/>
          <w:sz w:val="24"/>
          <w:szCs w:val="28"/>
          <w:highlight w:val="none"/>
          <w:lang w:val="zh-CN" w:bidi="zh-CN"/>
        </w:rPr>
      </w:pPr>
      <w:r>
        <w:rPr>
          <w:rFonts w:hint="eastAsia" w:ascii="仿宋" w:hAnsi="仿宋" w:eastAsia="仿宋" w:cs="仿宋"/>
          <w:color w:val="auto"/>
          <w:spacing w:val="-4"/>
          <w:kern w:val="0"/>
          <w:sz w:val="24"/>
          <w:szCs w:val="28"/>
          <w:highlight w:val="none"/>
          <w:lang w:val="zh-CN" w:bidi="zh-CN"/>
        </w:rPr>
        <w:t>1.10.1投标人拟在中标后将中标项目的部分非主体、非关键性工作进行分包的，应符合投标人须知前附表规定的分包内容、分包金额和接受分包的第三人资质要求等限制性条件。</w:t>
      </w:r>
    </w:p>
    <w:p w14:paraId="3236C28A">
      <w:pPr>
        <w:spacing w:line="360" w:lineRule="auto"/>
        <w:ind w:firstLine="464" w:firstLineChars="200"/>
        <w:rPr>
          <w:rFonts w:hint="eastAsia" w:ascii="仿宋" w:hAnsi="仿宋" w:eastAsia="仿宋" w:cs="仿宋"/>
          <w:color w:val="auto"/>
          <w:spacing w:val="-4"/>
          <w:kern w:val="0"/>
          <w:sz w:val="24"/>
          <w:szCs w:val="28"/>
          <w:highlight w:val="none"/>
          <w:lang w:val="zh-CN" w:bidi="zh-CN"/>
        </w:rPr>
      </w:pPr>
      <w:r>
        <w:rPr>
          <w:rFonts w:hint="eastAsia" w:ascii="仿宋" w:hAnsi="仿宋" w:eastAsia="仿宋" w:cs="仿宋"/>
          <w:color w:val="auto"/>
          <w:spacing w:val="-4"/>
          <w:kern w:val="0"/>
          <w:sz w:val="24"/>
          <w:szCs w:val="28"/>
          <w:highlight w:val="none"/>
          <w:lang w:val="zh-CN" w:bidi="zh-CN"/>
        </w:rPr>
        <w:t>1.10.2中标人不得向他人转让中标项目，接受分包的人不得再次分包。中标人应当就分包项目向招标人负责，接受分包的人就分包项目承担连带责任。</w:t>
      </w:r>
    </w:p>
    <w:p w14:paraId="62ABB5A8">
      <w:pPr>
        <w:pStyle w:val="52"/>
        <w:spacing w:line="360" w:lineRule="auto"/>
        <w:rPr>
          <w:rFonts w:hint="eastAsia" w:ascii="仿宋" w:hAnsi="仿宋" w:eastAsia="仿宋" w:cs="仿宋"/>
          <w:b/>
          <w:bCs/>
          <w:color w:val="auto"/>
          <w:highlight w:val="none"/>
        </w:rPr>
      </w:pPr>
      <w:bookmarkStart w:id="138" w:name="_Toc8423541"/>
      <w:bookmarkStart w:id="139" w:name="_Toc1452"/>
      <w:bookmarkStart w:id="140" w:name="_Toc38209130"/>
      <w:bookmarkStart w:id="141" w:name="_Toc106712842"/>
      <w:bookmarkStart w:id="142" w:name="_Toc30870"/>
      <w:bookmarkStart w:id="143" w:name="_Toc23114"/>
      <w:r>
        <w:rPr>
          <w:rFonts w:hint="eastAsia" w:ascii="仿宋" w:hAnsi="仿宋" w:eastAsia="仿宋" w:cs="仿宋"/>
          <w:b/>
          <w:bCs/>
          <w:color w:val="auto"/>
          <w:highlight w:val="none"/>
        </w:rPr>
        <w:t>1.11</w:t>
      </w:r>
      <w:bookmarkEnd w:id="138"/>
      <w:r>
        <w:rPr>
          <w:rFonts w:hint="eastAsia" w:ascii="仿宋" w:hAnsi="仿宋" w:eastAsia="仿宋" w:cs="仿宋"/>
          <w:b/>
          <w:bCs/>
          <w:color w:val="auto"/>
          <w:highlight w:val="none"/>
        </w:rPr>
        <w:t>响应和偏差</w:t>
      </w:r>
      <w:bookmarkEnd w:id="139"/>
      <w:bookmarkEnd w:id="140"/>
      <w:bookmarkEnd w:id="141"/>
      <w:bookmarkEnd w:id="142"/>
      <w:bookmarkEnd w:id="143"/>
    </w:p>
    <w:p w14:paraId="61515040">
      <w:pPr>
        <w:spacing w:line="360" w:lineRule="auto"/>
        <w:ind w:firstLine="480" w:firstLineChars="200"/>
        <w:rPr>
          <w:rFonts w:hint="eastAsia" w:ascii="仿宋" w:hAnsi="仿宋" w:eastAsia="仿宋" w:cs="仿宋"/>
          <w:color w:val="auto"/>
          <w:sz w:val="24"/>
          <w:szCs w:val="32"/>
          <w:highlight w:val="none"/>
        </w:rPr>
      </w:pPr>
      <w:bookmarkStart w:id="144" w:name="_Toc8423542"/>
      <w:r>
        <w:rPr>
          <w:rFonts w:hint="eastAsia" w:ascii="仿宋" w:hAnsi="仿宋" w:eastAsia="仿宋" w:cs="仿宋"/>
          <w:color w:val="auto"/>
          <w:sz w:val="24"/>
          <w:szCs w:val="32"/>
          <w:highlight w:val="none"/>
        </w:rPr>
        <w:t>1.11.1投标文件应当对招标文件的实质性要求和条件作出满足性或更有利于招标人的响应，否则，投标人的投标将被否决。实质性要求和条件见投标人须知前附表。</w:t>
      </w:r>
    </w:p>
    <w:p w14:paraId="4616F65A">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1.11.2投标人应根据招标文件的要求提供投标设备技术性能指标的详细描述、技术支持资料及技术服务和质保期服务计划等内容以对招标文件作出响应。</w:t>
      </w:r>
    </w:p>
    <w:p w14:paraId="2B0E2A29">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1.11.3投标人须知前附表规定了可以偏差的范围和最高偏差项数的，偏差应当符合投标人须知前附表规定的偏差范围和最高项数，超出偏差范围和最高偏差项数的投标将被否决。</w:t>
      </w:r>
    </w:p>
    <w:p w14:paraId="70D88CA1">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1.11.4投标文件对招标文件的全部偏差，均应在投标文件的商务和技术偏差表中列明，除列明的内容外，视为投标人响应招标文件的全部要求。</w:t>
      </w:r>
    </w:p>
    <w:bookmarkEnd w:id="144"/>
    <w:p w14:paraId="117D682B">
      <w:pPr>
        <w:pStyle w:val="35"/>
        <w:spacing w:before="159" w:line="360" w:lineRule="auto"/>
        <w:rPr>
          <w:rFonts w:hint="eastAsia" w:ascii="仿宋" w:hAnsi="仿宋" w:cs="仿宋"/>
          <w:b/>
          <w:bCs/>
          <w:color w:val="auto"/>
          <w:highlight w:val="none"/>
        </w:rPr>
      </w:pPr>
      <w:bookmarkStart w:id="145" w:name="_Toc32409"/>
      <w:bookmarkStart w:id="146" w:name="_Toc144974510"/>
      <w:bookmarkStart w:id="147" w:name="_Toc152045542"/>
      <w:bookmarkStart w:id="148" w:name="_Toc26610"/>
      <w:bookmarkStart w:id="149" w:name="_Toc152042318"/>
      <w:r>
        <w:rPr>
          <w:rFonts w:hint="eastAsia" w:ascii="仿宋" w:hAnsi="仿宋" w:cs="仿宋"/>
          <w:b/>
          <w:bCs/>
          <w:color w:val="auto"/>
          <w:highlight w:val="none"/>
        </w:rPr>
        <w:t>2、招标文件</w:t>
      </w:r>
      <w:bookmarkEnd w:id="145"/>
      <w:bookmarkEnd w:id="146"/>
      <w:bookmarkEnd w:id="147"/>
      <w:bookmarkEnd w:id="148"/>
      <w:bookmarkEnd w:id="149"/>
    </w:p>
    <w:p w14:paraId="3C6712D4">
      <w:pPr>
        <w:pStyle w:val="52"/>
        <w:spacing w:line="360" w:lineRule="auto"/>
        <w:rPr>
          <w:rFonts w:hint="eastAsia" w:ascii="仿宋" w:hAnsi="仿宋" w:eastAsia="仿宋" w:cs="仿宋"/>
          <w:b/>
          <w:bCs/>
          <w:color w:val="auto"/>
          <w:highlight w:val="none"/>
        </w:rPr>
      </w:pPr>
      <w:bookmarkStart w:id="150" w:name="_Toc11156"/>
      <w:bookmarkStart w:id="151" w:name="_Toc38209132"/>
      <w:bookmarkStart w:id="152" w:name="_Toc8423544"/>
      <w:bookmarkStart w:id="153" w:name="_Toc1577"/>
      <w:bookmarkStart w:id="154" w:name="_Toc144974511"/>
      <w:bookmarkStart w:id="155" w:name="_Toc152042319"/>
      <w:bookmarkStart w:id="156" w:name="_Toc106712844"/>
      <w:bookmarkStart w:id="157" w:name="_Toc152045543"/>
      <w:bookmarkStart w:id="158" w:name="_Toc29013"/>
      <w:r>
        <w:rPr>
          <w:rFonts w:hint="eastAsia" w:ascii="仿宋" w:hAnsi="仿宋" w:eastAsia="仿宋" w:cs="仿宋"/>
          <w:b/>
          <w:bCs/>
          <w:color w:val="auto"/>
          <w:highlight w:val="none"/>
        </w:rPr>
        <w:t>2.1招标文件的组成</w:t>
      </w:r>
      <w:bookmarkEnd w:id="150"/>
      <w:bookmarkEnd w:id="151"/>
      <w:bookmarkEnd w:id="152"/>
      <w:bookmarkEnd w:id="153"/>
      <w:bookmarkEnd w:id="154"/>
      <w:bookmarkEnd w:id="155"/>
      <w:bookmarkEnd w:id="156"/>
      <w:bookmarkEnd w:id="157"/>
      <w:bookmarkEnd w:id="158"/>
    </w:p>
    <w:p w14:paraId="697BB29C">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本招标文件包括：</w:t>
      </w:r>
    </w:p>
    <w:p w14:paraId="31F30443">
      <w:pPr>
        <w:spacing w:line="360" w:lineRule="auto"/>
        <w:ind w:firstLine="480" w:firstLineChars="200"/>
        <w:rPr>
          <w:rFonts w:hint="eastAsia" w:ascii="仿宋" w:hAnsi="仿宋" w:eastAsia="仿宋" w:cs="仿宋"/>
          <w:color w:val="auto"/>
          <w:sz w:val="24"/>
          <w:szCs w:val="32"/>
          <w:highlight w:val="none"/>
        </w:rPr>
      </w:pPr>
      <w:bookmarkStart w:id="159" w:name="_Toc144974512"/>
      <w:bookmarkStart w:id="160" w:name="_Toc8423545"/>
      <w:bookmarkStart w:id="161" w:name="_Toc152045544"/>
      <w:bookmarkStart w:id="162" w:name="_Toc152042320"/>
      <w:r>
        <w:rPr>
          <w:rFonts w:hint="eastAsia" w:ascii="仿宋" w:hAnsi="仿宋" w:eastAsia="仿宋" w:cs="仿宋"/>
          <w:color w:val="auto"/>
          <w:sz w:val="24"/>
          <w:szCs w:val="32"/>
          <w:highlight w:val="none"/>
        </w:rPr>
        <w:t>（1）招标公告；</w:t>
      </w:r>
    </w:p>
    <w:p w14:paraId="6B7DB1F5">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（2）投标人须知；</w:t>
      </w:r>
    </w:p>
    <w:p w14:paraId="758AEBAA">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（3）评标办法；</w:t>
      </w:r>
    </w:p>
    <w:p w14:paraId="0E07C6D4">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（4）合同条款及格式；</w:t>
      </w:r>
    </w:p>
    <w:p w14:paraId="03283BD7">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（5）图纸；</w:t>
      </w:r>
    </w:p>
    <w:p w14:paraId="465B5D90">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（6）技术标准和规范；</w:t>
      </w:r>
    </w:p>
    <w:p w14:paraId="54923B9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（7）投标文件格式。</w:t>
      </w:r>
    </w:p>
    <w:p w14:paraId="2974369F">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根据本章第2.2款和第2.3款对招标文件所作的澄清、修改，构成招标文件的组成部分。</w:t>
      </w:r>
    </w:p>
    <w:p w14:paraId="2551978C">
      <w:pPr>
        <w:pStyle w:val="52"/>
        <w:spacing w:line="360" w:lineRule="auto"/>
        <w:rPr>
          <w:rFonts w:hint="eastAsia" w:ascii="仿宋" w:hAnsi="仿宋" w:eastAsia="仿宋" w:cs="仿宋"/>
          <w:b/>
          <w:bCs/>
          <w:color w:val="auto"/>
          <w:highlight w:val="none"/>
        </w:rPr>
      </w:pPr>
      <w:bookmarkStart w:id="163" w:name="_Toc106712845"/>
      <w:bookmarkStart w:id="164" w:name="_Toc7392"/>
      <w:bookmarkStart w:id="165" w:name="_Toc11786"/>
      <w:bookmarkStart w:id="166" w:name="_Toc38209133"/>
      <w:bookmarkStart w:id="167" w:name="_Toc10205"/>
      <w:r>
        <w:rPr>
          <w:rFonts w:hint="eastAsia" w:ascii="仿宋" w:hAnsi="仿宋" w:eastAsia="仿宋" w:cs="仿宋"/>
          <w:b/>
          <w:bCs/>
          <w:color w:val="auto"/>
          <w:highlight w:val="none"/>
        </w:rPr>
        <w:t>2.2招标文件的澄清</w:t>
      </w:r>
      <w:bookmarkEnd w:id="159"/>
      <w:bookmarkEnd w:id="160"/>
      <w:bookmarkEnd w:id="161"/>
      <w:bookmarkEnd w:id="162"/>
      <w:bookmarkEnd w:id="163"/>
      <w:bookmarkEnd w:id="164"/>
      <w:bookmarkEnd w:id="165"/>
      <w:bookmarkEnd w:id="166"/>
      <w:bookmarkEnd w:id="167"/>
    </w:p>
    <w:p w14:paraId="49175892">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2.2.1投标人应仔细阅读和检查招标文件的全部内容。</w:t>
      </w:r>
      <w:r>
        <w:rPr>
          <w:rFonts w:hint="eastAsia" w:ascii="仿宋" w:hAnsi="仿宋" w:eastAsia="仿宋" w:cs="仿宋"/>
          <w:color w:val="auto"/>
          <w:sz w:val="24"/>
          <w:highlight w:val="none"/>
        </w:rPr>
        <w:t>如发现缺页或附件不全，应及时向招标人提出，以便补齐。</w:t>
      </w:r>
      <w:r>
        <w:rPr>
          <w:rFonts w:hint="eastAsia" w:ascii="仿宋" w:hAnsi="仿宋" w:eastAsia="仿宋" w:cs="仿宋"/>
          <w:color w:val="auto"/>
          <w:sz w:val="24"/>
          <w:szCs w:val="32"/>
          <w:highlight w:val="none"/>
        </w:rPr>
        <w:t>如有疑问，应在投标人须知前附表规定的时间前以书面形式（包括信函、电报、传真等可以有形地表现所载内容的形式，下同），要求招标人对招标文件予以澄清。</w:t>
      </w:r>
    </w:p>
    <w:p w14:paraId="01E6E61A">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2.2.2招标文件的澄清将在投标人须知前附表规定的投标截止时间15天前发布，如果澄清发出的时间距投标截止时间不足15天，且澄清的内容影响投标文件编制的，相应延长投标截止时间。</w:t>
      </w:r>
    </w:p>
    <w:p w14:paraId="214838E3">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招标文件的澄清将在与招标公告发布媒介的同一媒介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455BB8EA">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2.2.3</w:t>
      </w:r>
      <w:r>
        <w:rPr>
          <w:rFonts w:hint="eastAsia" w:ascii="仿宋" w:hAnsi="仿宋" w:eastAsia="仿宋" w:cs="仿宋"/>
          <w:bCs/>
          <w:color w:val="auto"/>
          <w:sz w:val="24"/>
          <w:highlight w:val="none"/>
        </w:rPr>
        <w:t>投标人确认收到招标文件澄清的时间</w:t>
      </w:r>
      <w:r>
        <w:rPr>
          <w:rFonts w:hint="eastAsia" w:ascii="仿宋" w:hAnsi="仿宋" w:eastAsia="仿宋" w:cs="仿宋"/>
          <w:bCs/>
          <w:color w:val="auto"/>
          <w:sz w:val="24"/>
          <w:szCs w:val="32"/>
          <w:highlight w:val="none"/>
        </w:rPr>
        <w:t>见投标人须知前附表。因洛阳市电子招投标交易平台在开标前具有保密性，投标人在投标文件递交截止时间前须自行查看项目进展、变更通知、澄清及回复，因投标人未及时查看而造成的后果自负。</w:t>
      </w:r>
    </w:p>
    <w:p w14:paraId="4395247E">
      <w:pPr>
        <w:pStyle w:val="52"/>
        <w:spacing w:line="360" w:lineRule="auto"/>
        <w:rPr>
          <w:rFonts w:hint="eastAsia" w:ascii="仿宋" w:hAnsi="仿宋" w:eastAsia="仿宋" w:cs="仿宋"/>
          <w:b/>
          <w:bCs/>
          <w:color w:val="auto"/>
          <w:highlight w:val="none"/>
        </w:rPr>
      </w:pPr>
      <w:bookmarkStart w:id="168" w:name="_Toc8698"/>
      <w:bookmarkStart w:id="169" w:name="_Toc152045545"/>
      <w:bookmarkStart w:id="170" w:name="_Toc23936"/>
      <w:bookmarkStart w:id="171" w:name="_Toc38209134"/>
      <w:bookmarkStart w:id="172" w:name="_Toc152042321"/>
      <w:bookmarkStart w:id="173" w:name="_Toc144974513"/>
      <w:bookmarkStart w:id="174" w:name="_Toc8423546"/>
      <w:bookmarkStart w:id="175" w:name="_Toc26614"/>
      <w:bookmarkStart w:id="176" w:name="_Toc106712846"/>
      <w:r>
        <w:rPr>
          <w:rFonts w:hint="eastAsia" w:ascii="仿宋" w:hAnsi="仿宋" w:eastAsia="仿宋" w:cs="仿宋"/>
          <w:b/>
          <w:bCs/>
          <w:color w:val="auto"/>
          <w:highlight w:val="none"/>
        </w:rPr>
        <w:t>2.3招标文件的修改</w:t>
      </w:r>
      <w:bookmarkEnd w:id="168"/>
      <w:bookmarkEnd w:id="169"/>
      <w:bookmarkEnd w:id="170"/>
      <w:bookmarkEnd w:id="171"/>
      <w:bookmarkEnd w:id="172"/>
      <w:bookmarkEnd w:id="173"/>
      <w:bookmarkEnd w:id="174"/>
      <w:bookmarkEnd w:id="175"/>
      <w:bookmarkEnd w:id="176"/>
    </w:p>
    <w:p w14:paraId="11093288">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 xml:space="preserve">2.3.1 招标文件的修改将在投标人须知前附表规定的投标截止时间15天前发布，如果修改发出的时间距投标截止时间不足15天，且修改的内容影响投标文件编制的，相应延长投标截止时间。 </w:t>
      </w:r>
    </w:p>
    <w:p w14:paraId="0A4DB6E0">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招标文件的修改将在与招标公告发布媒介的同一媒介发布“变更公告”，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79933991">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2.3.2</w:t>
      </w:r>
      <w:r>
        <w:rPr>
          <w:rFonts w:hint="eastAsia" w:ascii="仿宋" w:hAnsi="仿宋" w:eastAsia="仿宋" w:cs="仿宋"/>
          <w:bCs/>
          <w:color w:val="auto"/>
          <w:sz w:val="24"/>
          <w:highlight w:val="none"/>
        </w:rPr>
        <w:t>投标人确认收到招标文件修改的时间</w:t>
      </w:r>
      <w:r>
        <w:rPr>
          <w:rFonts w:hint="eastAsia" w:ascii="仿宋" w:hAnsi="仿宋" w:eastAsia="仿宋" w:cs="仿宋"/>
          <w:bCs/>
          <w:color w:val="auto"/>
          <w:sz w:val="24"/>
          <w:szCs w:val="32"/>
          <w:highlight w:val="none"/>
        </w:rPr>
        <w:t>见投标人须知前附表。因洛阳市电子招投标交易平台在开标前具有保密性，投标人在投标文件递交截止时间前须自行查看项目进展、变更通知、澄清及回复，因投标人未及时查看而造成的后果自负。</w:t>
      </w:r>
    </w:p>
    <w:p w14:paraId="3C98E910">
      <w:pPr>
        <w:pStyle w:val="52"/>
        <w:spacing w:line="360" w:lineRule="auto"/>
        <w:rPr>
          <w:rFonts w:hint="eastAsia" w:ascii="仿宋" w:hAnsi="仿宋" w:eastAsia="仿宋" w:cs="仿宋"/>
          <w:b/>
          <w:bCs/>
          <w:color w:val="auto"/>
          <w:highlight w:val="none"/>
        </w:rPr>
      </w:pPr>
      <w:bookmarkStart w:id="177" w:name="_Toc38209135"/>
      <w:bookmarkStart w:id="178" w:name="_Toc3533"/>
      <w:bookmarkStart w:id="179" w:name="_Toc12730"/>
      <w:bookmarkStart w:id="180" w:name="_Toc106712847"/>
      <w:bookmarkStart w:id="181" w:name="_Toc670"/>
      <w:r>
        <w:rPr>
          <w:rFonts w:hint="eastAsia" w:ascii="仿宋" w:hAnsi="仿宋" w:eastAsia="仿宋" w:cs="仿宋"/>
          <w:b/>
          <w:bCs/>
          <w:color w:val="auto"/>
          <w:highlight w:val="none"/>
        </w:rPr>
        <w:t>2.4招标文件的异议</w:t>
      </w:r>
      <w:bookmarkEnd w:id="177"/>
      <w:bookmarkEnd w:id="178"/>
      <w:bookmarkEnd w:id="179"/>
      <w:bookmarkEnd w:id="180"/>
      <w:bookmarkEnd w:id="181"/>
    </w:p>
    <w:p w14:paraId="3F8B9123">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投标人或者其他利害关系人对招标文件有异议的，应当在投标截止时间10日前以书面形式提出。招标人将在收到异议之日起3日内作出答复；作出答复前，将暂停招标投标活动。</w:t>
      </w:r>
    </w:p>
    <w:p w14:paraId="00D3E5F7">
      <w:pPr>
        <w:pStyle w:val="35"/>
        <w:spacing w:before="159" w:line="360" w:lineRule="auto"/>
        <w:rPr>
          <w:rFonts w:hint="eastAsia" w:ascii="仿宋" w:hAnsi="仿宋" w:cs="仿宋"/>
          <w:b/>
          <w:bCs/>
          <w:color w:val="auto"/>
          <w:highlight w:val="none"/>
        </w:rPr>
      </w:pPr>
      <w:bookmarkStart w:id="182" w:name="_Toc12934"/>
      <w:bookmarkStart w:id="183" w:name="_Toc152042322"/>
      <w:bookmarkStart w:id="184" w:name="_Toc144974514"/>
      <w:bookmarkStart w:id="185" w:name="_Toc28105"/>
      <w:bookmarkStart w:id="186" w:name="_Toc152045546"/>
      <w:r>
        <w:rPr>
          <w:rFonts w:hint="eastAsia" w:ascii="仿宋" w:hAnsi="仿宋" w:cs="仿宋"/>
          <w:b/>
          <w:bCs/>
          <w:color w:val="auto"/>
          <w:highlight w:val="none"/>
        </w:rPr>
        <w:t>3、投标文件</w:t>
      </w:r>
      <w:bookmarkEnd w:id="182"/>
      <w:bookmarkEnd w:id="183"/>
      <w:bookmarkEnd w:id="184"/>
      <w:bookmarkEnd w:id="185"/>
      <w:bookmarkEnd w:id="186"/>
    </w:p>
    <w:p w14:paraId="34B91889">
      <w:pPr>
        <w:pStyle w:val="52"/>
        <w:spacing w:line="360" w:lineRule="auto"/>
        <w:rPr>
          <w:rFonts w:hint="eastAsia" w:ascii="仿宋" w:hAnsi="仿宋" w:eastAsia="仿宋" w:cs="仿宋"/>
          <w:b/>
          <w:bCs/>
          <w:color w:val="auto"/>
          <w:highlight w:val="none"/>
        </w:rPr>
      </w:pPr>
      <w:bookmarkStart w:id="187" w:name="_Toc8423548"/>
      <w:bookmarkStart w:id="188" w:name="_Toc152042323"/>
      <w:bookmarkStart w:id="189" w:name="_Toc11822"/>
      <w:bookmarkStart w:id="190" w:name="_Toc3698"/>
      <w:bookmarkStart w:id="191" w:name="_Toc38209137"/>
      <w:bookmarkStart w:id="192" w:name="_Toc144974515"/>
      <w:bookmarkStart w:id="193" w:name="_Toc152045547"/>
      <w:bookmarkStart w:id="194" w:name="_Toc6586"/>
      <w:bookmarkStart w:id="195" w:name="_Toc106712849"/>
      <w:r>
        <w:rPr>
          <w:rFonts w:hint="eastAsia" w:ascii="仿宋" w:hAnsi="仿宋" w:eastAsia="仿宋" w:cs="仿宋"/>
          <w:b/>
          <w:bCs/>
          <w:color w:val="auto"/>
          <w:highlight w:val="none"/>
        </w:rPr>
        <w:t>3.1投标文件的组成</w:t>
      </w:r>
      <w:bookmarkEnd w:id="187"/>
      <w:bookmarkEnd w:id="188"/>
      <w:bookmarkEnd w:id="189"/>
      <w:bookmarkEnd w:id="190"/>
      <w:bookmarkEnd w:id="191"/>
      <w:bookmarkEnd w:id="192"/>
      <w:bookmarkEnd w:id="193"/>
      <w:bookmarkEnd w:id="194"/>
      <w:bookmarkEnd w:id="195"/>
    </w:p>
    <w:p w14:paraId="2454795E">
      <w:pPr>
        <w:spacing w:line="360" w:lineRule="auto"/>
        <w:ind w:firstLine="480" w:firstLineChars="200"/>
        <w:rPr>
          <w:rFonts w:hint="eastAsia" w:ascii="仿宋" w:hAnsi="仿宋" w:eastAsia="仿宋" w:cs="仿宋"/>
          <w:bCs/>
          <w:color w:val="auto"/>
          <w:sz w:val="24"/>
          <w:szCs w:val="32"/>
          <w:highlight w:val="none"/>
        </w:rPr>
      </w:pPr>
      <w:r>
        <w:rPr>
          <w:rFonts w:hint="eastAsia" w:ascii="仿宋" w:hAnsi="仿宋" w:eastAsia="仿宋" w:cs="仿宋"/>
          <w:bCs/>
          <w:color w:val="auto"/>
          <w:sz w:val="24"/>
          <w:szCs w:val="32"/>
          <w:highlight w:val="none"/>
        </w:rPr>
        <w:t>3.1.1投标文件应包括下列内容：</w:t>
      </w:r>
    </w:p>
    <w:p w14:paraId="07F551D2">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一、投标函及投标函附录</w:t>
      </w:r>
    </w:p>
    <w:p w14:paraId="044742AE">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二、法定代表人身份证明及授权委托书</w:t>
      </w:r>
    </w:p>
    <w:p w14:paraId="5DA8C9B2">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三、投标承诺书</w:t>
      </w:r>
    </w:p>
    <w:p w14:paraId="4654D766">
      <w:pPr>
        <w:spacing w:line="360" w:lineRule="auto"/>
        <w:ind w:firstLine="410" w:firstLineChars="171"/>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四、中小微企业声明函</w:t>
      </w:r>
    </w:p>
    <w:p w14:paraId="0253D31A">
      <w:pPr>
        <w:spacing w:line="360" w:lineRule="auto"/>
        <w:ind w:firstLine="410" w:firstLineChars="171"/>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五、残疾人福利性单位声明函</w:t>
      </w:r>
    </w:p>
    <w:p w14:paraId="2FEC3AA8">
      <w:pPr>
        <w:spacing w:line="360" w:lineRule="auto"/>
        <w:ind w:firstLine="410" w:firstLineChars="171"/>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六、监狱企业证明文件</w:t>
      </w:r>
    </w:p>
    <w:p w14:paraId="1AEC142C">
      <w:pPr>
        <w:spacing w:line="360" w:lineRule="auto"/>
        <w:ind w:firstLine="410" w:firstLineChars="171"/>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七</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已标价工程量清单</w:t>
      </w:r>
    </w:p>
    <w:p w14:paraId="31FB69D6">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八</w:t>
      </w:r>
      <w:r>
        <w:rPr>
          <w:rFonts w:hint="eastAsia" w:ascii="仿宋" w:hAnsi="仿宋" w:eastAsia="仿宋" w:cs="仿宋"/>
          <w:color w:val="auto"/>
          <w:sz w:val="24"/>
          <w:szCs w:val="32"/>
          <w:highlight w:val="none"/>
        </w:rPr>
        <w:t>、关于资格的声明函</w:t>
      </w:r>
    </w:p>
    <w:p w14:paraId="756F9AF0">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九</w:t>
      </w:r>
      <w:r>
        <w:rPr>
          <w:rFonts w:hint="eastAsia" w:ascii="仿宋" w:hAnsi="仿宋" w:eastAsia="仿宋" w:cs="仿宋"/>
          <w:color w:val="auto"/>
          <w:sz w:val="24"/>
          <w:szCs w:val="32"/>
          <w:highlight w:val="none"/>
        </w:rPr>
        <w:t>、资格审查资料</w:t>
      </w:r>
    </w:p>
    <w:p w14:paraId="4CACA379">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w:t>
      </w:r>
      <w:r>
        <w:rPr>
          <w:rFonts w:hint="eastAsia" w:ascii="仿宋" w:hAnsi="仿宋" w:eastAsia="仿宋" w:cs="仿宋"/>
          <w:color w:val="auto"/>
          <w:sz w:val="24"/>
          <w:szCs w:val="32"/>
          <w:highlight w:val="none"/>
        </w:rPr>
        <w:t>、施工组织设计</w:t>
      </w:r>
    </w:p>
    <w:p w14:paraId="1764C783">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十一</w:t>
      </w:r>
      <w:r>
        <w:rPr>
          <w:rFonts w:hint="eastAsia" w:ascii="仿宋" w:hAnsi="仿宋" w:eastAsia="仿宋" w:cs="仿宋"/>
          <w:color w:val="auto"/>
          <w:sz w:val="24"/>
          <w:szCs w:val="32"/>
          <w:highlight w:val="none"/>
        </w:rPr>
        <w:t>、项目管理机构</w:t>
      </w:r>
    </w:p>
    <w:p w14:paraId="5D868C5B">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十二</w:t>
      </w:r>
      <w:r>
        <w:rPr>
          <w:rFonts w:hint="eastAsia" w:ascii="仿宋" w:hAnsi="仿宋" w:eastAsia="仿宋" w:cs="仿宋"/>
          <w:color w:val="auto"/>
          <w:sz w:val="24"/>
          <w:szCs w:val="32"/>
          <w:highlight w:val="none"/>
        </w:rPr>
        <w:t>、其他资料</w:t>
      </w:r>
    </w:p>
    <w:p w14:paraId="421C4EE6">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投标人在评标过程中作出的符合法律法规和招标文件规定的澄清确认，构成投标文件的组成部分。</w:t>
      </w:r>
    </w:p>
    <w:p w14:paraId="01BEAF6D">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3.1.2投标人须知前附表规定不接受联合体投标的，或投标人没有组成联合体的，投标文件不包括本章所指的联合体协议书。</w:t>
      </w:r>
    </w:p>
    <w:p w14:paraId="6FB89104">
      <w:pPr>
        <w:pStyle w:val="52"/>
        <w:spacing w:line="360" w:lineRule="auto"/>
        <w:rPr>
          <w:rFonts w:hint="eastAsia" w:ascii="仿宋" w:hAnsi="仿宋" w:eastAsia="仿宋" w:cs="仿宋"/>
          <w:b/>
          <w:bCs/>
          <w:color w:val="auto"/>
          <w:highlight w:val="none"/>
        </w:rPr>
      </w:pPr>
      <w:bookmarkStart w:id="196" w:name="_Toc8423549"/>
      <w:bookmarkStart w:id="197" w:name="_Toc152045548"/>
      <w:bookmarkStart w:id="198" w:name="_Toc11197"/>
      <w:bookmarkStart w:id="199" w:name="_Toc152042324"/>
      <w:bookmarkStart w:id="200" w:name="_Toc7067"/>
      <w:bookmarkStart w:id="201" w:name="_Toc15178"/>
      <w:bookmarkStart w:id="202" w:name="_Toc38209138"/>
      <w:bookmarkStart w:id="203" w:name="_Toc144974516"/>
      <w:bookmarkStart w:id="204" w:name="_Toc106712850"/>
      <w:r>
        <w:rPr>
          <w:rFonts w:hint="eastAsia" w:ascii="仿宋" w:hAnsi="仿宋" w:eastAsia="仿宋" w:cs="仿宋"/>
          <w:b/>
          <w:bCs/>
          <w:color w:val="auto"/>
          <w:highlight w:val="none"/>
        </w:rPr>
        <w:t>3.2投标报价</w:t>
      </w:r>
      <w:bookmarkEnd w:id="196"/>
      <w:bookmarkEnd w:id="197"/>
      <w:bookmarkEnd w:id="198"/>
      <w:bookmarkEnd w:id="199"/>
      <w:bookmarkEnd w:id="200"/>
      <w:bookmarkEnd w:id="201"/>
      <w:bookmarkEnd w:id="202"/>
      <w:bookmarkEnd w:id="203"/>
      <w:bookmarkEnd w:id="204"/>
    </w:p>
    <w:p w14:paraId="5AADAD87">
      <w:pPr>
        <w:spacing w:line="360" w:lineRule="auto"/>
        <w:ind w:firstLine="480" w:firstLineChars="200"/>
        <w:rPr>
          <w:rFonts w:hint="eastAsia" w:ascii="仿宋" w:hAnsi="仿宋" w:eastAsia="仿宋" w:cs="仿宋"/>
          <w:color w:val="auto"/>
          <w:sz w:val="24"/>
          <w:highlight w:val="none"/>
        </w:rPr>
      </w:pPr>
      <w:bookmarkStart w:id="205" w:name="_Toc144974517"/>
      <w:bookmarkStart w:id="206" w:name="_Toc152045549"/>
      <w:bookmarkStart w:id="207" w:name="_Toc106712851"/>
      <w:bookmarkStart w:id="208" w:name="_Toc38209139"/>
      <w:bookmarkStart w:id="209" w:name="_Toc152042325"/>
      <w:bookmarkStart w:id="210" w:name="_Toc8423550"/>
      <w:r>
        <w:rPr>
          <w:rFonts w:hint="eastAsia" w:ascii="仿宋" w:hAnsi="仿宋" w:eastAsia="仿宋" w:cs="仿宋"/>
          <w:bCs/>
          <w:color w:val="auto"/>
          <w:sz w:val="24"/>
          <w:highlight w:val="none"/>
        </w:rPr>
        <w:t>3.2.1</w:t>
      </w:r>
      <w:r>
        <w:rPr>
          <w:rFonts w:hint="eastAsia" w:ascii="仿宋" w:hAnsi="仿宋" w:eastAsia="仿宋" w:cs="仿宋"/>
          <w:color w:val="auto"/>
          <w:sz w:val="24"/>
          <w:highlight w:val="none"/>
        </w:rPr>
        <w:t>投标报价计算办法及承包方式：</w:t>
      </w:r>
    </w:p>
    <w:p w14:paraId="09742D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对项目的各项报价和竣工结算的计价方式均采用工程量清单计价方式。工程量清单总报价（投标报价）以招标文件、答疑纪要，招标人提供的施工图纸及相应规范为依据，充分考虑市场价格，结合实际在合理范围内自主报价，但不得低于企业实际成本。</w:t>
      </w:r>
    </w:p>
    <w:p w14:paraId="0A8C3E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工程量清单中所报的单价和合价，以及投标文件中的投标报价应是招标文件所确定的发包范围内的全部工程内容的价格体现，应以招标文件、技术规范、设计图纸及答疑纪要等规定，实施和完成招标工程所需的全部费用。投标人在投标时应按此要求，在投标文件中认真填写工程量清单所有工程项目的单价和合价。</w:t>
      </w:r>
    </w:p>
    <w:p w14:paraId="6B0EFE1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（3）招标人提供的工程量清单是为投标人投标计量计价的依据，投标人不能够直接修改原清单的项目编码、项目名称、项目特征描述、计量单位、工程量，不能直接删除或在中间插入需补充的清单项目。</w:t>
      </w:r>
    </w:p>
    <w:p w14:paraId="20EC5C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应根据自己对招标文件和设计图纸的理解，凭借自己的实力对本招标工程进行准确计价，投标人对招标人提供的清单有异议需进行修订的，应按招标项目要求中规定的招标答疑时间之前书面告知招标人，招标人以答疑纪要的形式予以回复；如招标人和投标人意见不一致时投标人不可以修改招标人提供的工程量清单内容，对于差异部分，由投标人在投标报价中自行考虑。</w:t>
      </w:r>
    </w:p>
    <w:p w14:paraId="65F38E4D">
      <w:pPr>
        <w:spacing w:line="360" w:lineRule="auto"/>
        <w:ind w:firstLine="480" w:firstLineChars="200"/>
        <w:textAlignment w:val="baseline"/>
        <w:rPr>
          <w:rFonts w:hint="eastAsia" w:ascii="仿宋" w:hAnsi="仿宋" w:eastAsia="仿宋" w:cs="仿宋"/>
          <w:color w:val="auto"/>
          <w:sz w:val="24"/>
          <w:highlight w:val="none"/>
          <w:lang w:eastAsia="zh-TW"/>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TW"/>
        </w:rPr>
        <w:t>工程变更、签证引起的价款调整。分部分项工程的工程量清单中有适用于变更工程项目的，且工程量变化幅度不超过清单工程量的10%（含10%）时，采用该项目的单价。工程量清单中没有适用于变更工程项目的，依据</w:t>
      </w:r>
      <w:r>
        <w:rPr>
          <w:rFonts w:hint="eastAsia" w:ascii="仿宋" w:hAnsi="仿宋" w:eastAsia="仿宋" w:cs="仿宋"/>
          <w:color w:val="auto"/>
          <w:sz w:val="24"/>
          <w:highlight w:val="none"/>
          <w:lang w:val="en-US" w:eastAsia="zh-TW"/>
        </w:rPr>
        <w:t>《水利工程设计概(估)算编制规定》(2025)及配套预算定额；《河南省土地开发整理项目预算定额》(2014);材料价格采用:材料价格按照2025年嵩县《第二季度主材社会指导价》(嵩定[2025]02号)及《河南省工程造价信息·洛阳专刊》2025年第3期进行调整，两者不全的参考《郑州造价信息》2025年第二季度及市场价计；</w:t>
      </w:r>
      <w:r>
        <w:rPr>
          <w:rFonts w:hint="eastAsia" w:ascii="仿宋" w:hAnsi="仿宋" w:eastAsia="仿宋" w:cs="仿宋"/>
          <w:color w:val="auto"/>
          <w:sz w:val="24"/>
          <w:highlight w:val="none"/>
          <w:lang w:eastAsia="zh-TW"/>
        </w:rPr>
        <w:t>等及施工同期配套文件，并在此基础上结合变更签证优惠率重新编制清单单价。</w:t>
      </w:r>
    </w:p>
    <w:p w14:paraId="5EDACFD6">
      <w:pPr>
        <w:adjustRightIn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投标人所报设计变更及预算外签证部分优惠率不得低于投标优惠率【投标优惠率=（预算控制金额-投标人投标报价）/预算控制金额*100%】</w:t>
      </w:r>
    </w:p>
    <w:p w14:paraId="7D806138">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（6）采用一般计税法，税率为9%</w:t>
      </w:r>
      <w:r>
        <w:rPr>
          <w:rFonts w:hint="eastAsia" w:ascii="仿宋" w:hAnsi="仿宋" w:eastAsia="仿宋" w:cs="仿宋"/>
          <w:color w:val="auto"/>
          <w:sz w:val="24"/>
          <w:highlight w:val="none"/>
          <w:lang w:eastAsia="zh-CN"/>
        </w:rPr>
        <w:t>。</w:t>
      </w:r>
    </w:p>
    <w:p w14:paraId="6E7C562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TW"/>
        </w:rPr>
        <w:t>招标人与投标人共同承担价格风险的材料范围为：钢材、水泥、商品混凝土、碎石、中粗砂。材料费的风险由承发包双方分担，风险幅度为±5%，跨季度施工时，按施工期对应的工程造价信息价与材料进场量加权平均计算；非建设单位原因造成工程实际施工工期超过合同约定工期的，按原合同工期对应的造价信息价格计算，超工期部分材料费增加因素不计算。共同承担价格风险材料范围以外的材料价格不调整。</w:t>
      </w:r>
    </w:p>
    <w:p w14:paraId="187542F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）投标文件报价中的所报价格如无特别指明，均为人民币价格。</w:t>
      </w:r>
    </w:p>
    <w:p w14:paraId="61F6FAC4">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3.2.2投标人应充分了解施工场地的位置、周边环境、道路、装卸、保管、安装限制以及影响投标报价的其他要素。投标人结合市场情况进行投标报价。</w:t>
      </w:r>
    </w:p>
    <w:p w14:paraId="4F0BAA8B">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3.2.3投标人在投标截止时间前修改投标函中的投标报价总额，应符合本章第4.3款的有关要求。</w:t>
      </w:r>
    </w:p>
    <w:p w14:paraId="70D6A8CF">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3.2.4招标人设有最高投标限价的，投标人的投标报价不得超过最高投标限价，最高投标限价或其计算方法在投标人须知前附表中载明。</w:t>
      </w:r>
    </w:p>
    <w:p w14:paraId="130E781C">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3.2.5投标报价的其他要求见投标人须知前附表。</w:t>
      </w:r>
    </w:p>
    <w:p w14:paraId="47B7B2FA">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3.2.6预算及报价的编制依据及要求</w:t>
      </w:r>
    </w:p>
    <w:p w14:paraId="7DBBFABB">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（1）施工图纸、招标文件以及补充资料、答疑纪要。</w:t>
      </w:r>
    </w:p>
    <w:p w14:paraId="5AFEC669">
      <w:pPr>
        <w:topLinePunct/>
        <w:spacing w:line="360" w:lineRule="auto"/>
        <w:ind w:firstLine="480" w:firstLineChars="200"/>
        <w:rPr>
          <w:rFonts w:hint="eastAsia" w:ascii="仿宋" w:hAnsi="仿宋" w:eastAsia="仿宋" w:cs="仿宋"/>
          <w:color w:val="auto"/>
          <w:sz w:val="24"/>
          <w:highlight w:val="none"/>
          <w:lang w:eastAsia="zh-TW"/>
        </w:rPr>
      </w:pPr>
      <w:bookmarkStart w:id="211" w:name="_Toc21446"/>
      <w:r>
        <w:rPr>
          <w:rFonts w:hint="eastAsia" w:ascii="仿宋" w:hAnsi="仿宋" w:eastAsia="仿宋" w:cs="仿宋"/>
          <w:color w:val="auto"/>
          <w:sz w:val="24"/>
          <w:highlight w:val="none"/>
          <w:lang w:eastAsia="zh-TW"/>
        </w:rPr>
        <w:t xml:space="preserve">（2）与建设项目有关的文件、规范、技术资料； </w:t>
      </w:r>
    </w:p>
    <w:p w14:paraId="403F825F">
      <w:pPr>
        <w:topLinePunct/>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TW"/>
        </w:rPr>
        <w:t>（3）材料价格采用:材料价格按照2025年县《第二季度主材社会指导价》(嵩定[2025]02号)及《河南省工程造价信息·洛阳专刊》2025年第3期进行调整，两者不全的参考《郑州造价信息》2025年第二季度及市场价计</w:t>
      </w:r>
      <w:r>
        <w:rPr>
          <w:rFonts w:hint="eastAsia" w:ascii="仿宋" w:hAnsi="仿宋" w:eastAsia="仿宋" w:cs="仿宋"/>
          <w:color w:val="auto"/>
          <w:sz w:val="24"/>
          <w:highlight w:val="none"/>
          <w:lang w:val="en-US" w:eastAsia="zh-CN"/>
        </w:rPr>
        <w:t>入。</w:t>
      </w:r>
    </w:p>
    <w:p w14:paraId="3375D0EE">
      <w:pPr>
        <w:topLinePunct/>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TW"/>
        </w:rPr>
        <w:t>（4）定额依据：《水利工程设计概(估)算编制规定》（2025）及配套预算定额；《河南省土地开发整理项目预算定额》（2014）</w:t>
      </w:r>
      <w:r>
        <w:rPr>
          <w:rFonts w:hint="eastAsia" w:ascii="仿宋" w:hAnsi="仿宋" w:eastAsia="仿宋" w:cs="仿宋"/>
          <w:color w:val="auto"/>
          <w:sz w:val="24"/>
          <w:highlight w:val="none"/>
          <w:lang w:eastAsia="zh-CN"/>
        </w:rPr>
        <w:t>。</w:t>
      </w:r>
    </w:p>
    <w:p w14:paraId="6763EEB7">
      <w:pPr>
        <w:topLinePunct/>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TW"/>
        </w:rPr>
        <w:t>（</w:t>
      </w: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TW"/>
        </w:rPr>
        <w:t>）工程用所有材料投标人应充分考虑施工期间的市场价格波动风险，自行考虑并足额计取材料价格风险系数金额，参照工程造价信息价，依据市场情况并结合自身实力自主报价。</w:t>
      </w:r>
    </w:p>
    <w:p w14:paraId="11D92211">
      <w:pPr>
        <w:topLinePunct/>
        <w:spacing w:line="360" w:lineRule="auto"/>
        <w:ind w:firstLine="480" w:firstLineChars="200"/>
        <w:rPr>
          <w:rFonts w:hint="eastAsia" w:ascii="仿宋" w:hAnsi="仿宋" w:eastAsia="仿宋" w:cs="仿宋"/>
          <w:color w:val="auto"/>
          <w:sz w:val="24"/>
          <w:highlight w:val="none"/>
          <w:lang w:eastAsia="zh-TW"/>
        </w:rPr>
      </w:pPr>
      <w:r>
        <w:rPr>
          <w:rFonts w:hint="eastAsia" w:ascii="仿宋" w:hAnsi="仿宋" w:eastAsia="仿宋" w:cs="仿宋"/>
          <w:color w:val="auto"/>
          <w:sz w:val="24"/>
          <w:highlight w:val="none"/>
          <w:lang w:eastAsia="zh-TW"/>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TW"/>
        </w:rPr>
        <w:t>）投标人在工程量清单报价表中应按主要材料价格表的要求列出本工程实体性消耗主要材料的品种、数量、单价、合价等内容。</w:t>
      </w:r>
    </w:p>
    <w:p w14:paraId="705DED2E">
      <w:pPr>
        <w:topLinePunct/>
        <w:spacing w:line="360" w:lineRule="auto"/>
        <w:ind w:firstLine="480" w:firstLineChars="200"/>
        <w:rPr>
          <w:rFonts w:hint="eastAsia" w:ascii="仿宋" w:hAnsi="仿宋" w:eastAsia="仿宋" w:cs="仿宋"/>
          <w:color w:val="auto"/>
          <w:sz w:val="24"/>
          <w:highlight w:val="none"/>
          <w:lang w:eastAsia="zh-TW"/>
        </w:rPr>
      </w:pPr>
      <w:r>
        <w:rPr>
          <w:rFonts w:hint="eastAsia" w:ascii="仿宋" w:hAnsi="仿宋" w:eastAsia="仿宋" w:cs="仿宋"/>
          <w:color w:val="auto"/>
          <w:sz w:val="24"/>
          <w:highlight w:val="none"/>
          <w:lang w:eastAsia="zh-TW"/>
        </w:rPr>
        <w:t>3.2.</w:t>
      </w: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TW"/>
        </w:rPr>
        <w:t xml:space="preserve"> 投标人需做好现场踏勘工作，充分了解该现场情况，</w:t>
      </w:r>
      <w:r>
        <w:rPr>
          <w:rFonts w:hint="eastAsia" w:ascii="仿宋" w:hAnsi="仿宋" w:eastAsia="仿宋" w:cs="仿宋"/>
          <w:color w:val="auto"/>
          <w:sz w:val="24"/>
          <w:highlight w:val="none"/>
        </w:rPr>
        <w:t>尤其是现场地质情况。</w:t>
      </w:r>
      <w:r>
        <w:rPr>
          <w:rFonts w:hint="eastAsia" w:ascii="仿宋" w:hAnsi="仿宋" w:eastAsia="仿宋" w:cs="仿宋"/>
          <w:color w:val="auto"/>
          <w:sz w:val="24"/>
          <w:highlight w:val="none"/>
          <w:lang w:eastAsia="zh-TW"/>
        </w:rPr>
        <w:t xml:space="preserve">对施工现场水电接口位置、道路运输及装卸限制、施工道路情况等可能影响投标报价的全部因素，在投标报价时综合考虑计入总报价。中标后，任何因素对现场情况误解或不了解，导致的费用和工期增加，招标人均不予批准。 </w:t>
      </w:r>
    </w:p>
    <w:p w14:paraId="50526927">
      <w:pPr>
        <w:pStyle w:val="52"/>
        <w:spacing w:line="360" w:lineRule="auto"/>
        <w:rPr>
          <w:rFonts w:hint="eastAsia" w:ascii="仿宋" w:hAnsi="仿宋" w:eastAsia="仿宋" w:cs="仿宋"/>
          <w:b/>
          <w:bCs/>
          <w:color w:val="auto"/>
          <w:highlight w:val="none"/>
        </w:rPr>
      </w:pPr>
      <w:bookmarkStart w:id="212" w:name="_Toc21829"/>
      <w:bookmarkStart w:id="213" w:name="_Toc27019"/>
      <w:r>
        <w:rPr>
          <w:rFonts w:hint="eastAsia" w:ascii="仿宋" w:hAnsi="仿宋" w:eastAsia="仿宋" w:cs="仿宋"/>
          <w:b/>
          <w:bCs/>
          <w:color w:val="auto"/>
          <w:highlight w:val="none"/>
        </w:rPr>
        <w:t>3.3投标有效期</w:t>
      </w:r>
      <w:bookmarkEnd w:id="205"/>
      <w:bookmarkEnd w:id="206"/>
      <w:bookmarkEnd w:id="207"/>
      <w:bookmarkEnd w:id="208"/>
      <w:bookmarkEnd w:id="209"/>
      <w:bookmarkEnd w:id="210"/>
      <w:bookmarkEnd w:id="211"/>
      <w:bookmarkEnd w:id="212"/>
      <w:bookmarkEnd w:id="213"/>
    </w:p>
    <w:p w14:paraId="6ACFE233">
      <w:pPr>
        <w:spacing w:line="430" w:lineRule="exact"/>
        <w:ind w:firstLine="480" w:firstLineChars="200"/>
        <w:rPr>
          <w:rFonts w:hint="eastAsia" w:ascii="仿宋" w:hAnsi="仿宋" w:eastAsia="仿宋" w:cs="仿宋"/>
          <w:color w:val="auto"/>
          <w:sz w:val="24"/>
          <w:szCs w:val="32"/>
          <w:highlight w:val="none"/>
        </w:rPr>
      </w:pPr>
      <w:bookmarkStart w:id="214" w:name="_Toc152045550"/>
      <w:bookmarkStart w:id="215" w:name="_Toc152042326"/>
      <w:bookmarkStart w:id="216" w:name="_Toc8423551"/>
      <w:bookmarkStart w:id="217" w:name="_Toc144974518"/>
      <w:r>
        <w:rPr>
          <w:rFonts w:hint="eastAsia" w:ascii="仿宋" w:hAnsi="仿宋" w:eastAsia="仿宋" w:cs="仿宋"/>
          <w:color w:val="auto"/>
          <w:sz w:val="24"/>
          <w:szCs w:val="32"/>
          <w:highlight w:val="none"/>
        </w:rPr>
        <w:t>3.3.1除投标人须知前附表另有规定外，投标截止日起90日历天。</w:t>
      </w:r>
    </w:p>
    <w:p w14:paraId="47F09929">
      <w:pPr>
        <w:spacing w:line="43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3.3.2在投标有效期内，投标人撤销投标文件的，应承担招标文件和法律规定的责任。</w:t>
      </w:r>
    </w:p>
    <w:p w14:paraId="74F5A89F">
      <w:pPr>
        <w:spacing w:line="43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3.3.3出现特殊情况需要延长投标有效期的，招标人以书面形式通知所有投标人延长投标有效期，投标人应予以书面答复，同意延长的，应相应延长其投标保证金承诺书的有效期，但不得要求或被允许修改其投标文件；投标人拒绝延长的，其投标失效。</w:t>
      </w:r>
    </w:p>
    <w:p w14:paraId="183FBF1F">
      <w:pPr>
        <w:pStyle w:val="52"/>
        <w:spacing w:line="360" w:lineRule="auto"/>
        <w:rPr>
          <w:rFonts w:hint="eastAsia" w:ascii="仿宋" w:hAnsi="仿宋" w:eastAsia="仿宋" w:cs="仿宋"/>
          <w:b/>
          <w:bCs/>
          <w:color w:val="auto"/>
          <w:highlight w:val="none"/>
        </w:rPr>
      </w:pPr>
      <w:bookmarkStart w:id="218" w:name="_Toc106712852"/>
      <w:bookmarkStart w:id="219" w:name="_Toc1281"/>
      <w:bookmarkStart w:id="220" w:name="_Toc28547"/>
      <w:bookmarkStart w:id="221" w:name="_Toc29861"/>
      <w:bookmarkStart w:id="222" w:name="_Toc38209140"/>
      <w:r>
        <w:rPr>
          <w:rFonts w:hint="eastAsia" w:ascii="仿宋" w:hAnsi="仿宋" w:eastAsia="仿宋" w:cs="仿宋"/>
          <w:b/>
          <w:bCs/>
          <w:color w:val="auto"/>
          <w:highlight w:val="none"/>
        </w:rPr>
        <w:t>3.4投标保证金</w:t>
      </w:r>
      <w:bookmarkEnd w:id="214"/>
      <w:bookmarkEnd w:id="215"/>
      <w:bookmarkEnd w:id="216"/>
      <w:bookmarkEnd w:id="217"/>
      <w:bookmarkEnd w:id="218"/>
      <w:bookmarkEnd w:id="219"/>
      <w:bookmarkEnd w:id="220"/>
      <w:bookmarkEnd w:id="221"/>
      <w:bookmarkEnd w:id="222"/>
    </w:p>
    <w:p w14:paraId="423A4DA4">
      <w:pPr>
        <w:spacing w:line="430" w:lineRule="exact"/>
        <w:ind w:firstLine="480" w:firstLineChars="200"/>
        <w:rPr>
          <w:rFonts w:hint="eastAsia" w:ascii="仿宋" w:hAnsi="仿宋" w:eastAsia="仿宋" w:cs="仿宋"/>
          <w:color w:val="auto"/>
          <w:sz w:val="24"/>
          <w:szCs w:val="32"/>
          <w:highlight w:val="none"/>
        </w:rPr>
      </w:pPr>
      <w:bookmarkStart w:id="223" w:name="_Toc152045552"/>
      <w:bookmarkStart w:id="224" w:name="_Toc152042328"/>
      <w:bookmarkStart w:id="225" w:name="_Toc106712853"/>
      <w:bookmarkStart w:id="226" w:name="_Toc8423552"/>
      <w:bookmarkStart w:id="227" w:name="_Toc144974520"/>
      <w:bookmarkStart w:id="228" w:name="_Toc38209141"/>
      <w:r>
        <w:rPr>
          <w:rFonts w:hint="eastAsia" w:ascii="仿宋" w:hAnsi="仿宋" w:eastAsia="仿宋" w:cs="仿宋"/>
          <w:color w:val="auto"/>
          <w:sz w:val="24"/>
          <w:szCs w:val="32"/>
          <w:highlight w:val="none"/>
        </w:rPr>
        <w:t>详见第二章 投标人须知 3.4.1条款。</w:t>
      </w:r>
    </w:p>
    <w:p w14:paraId="6DE96A25">
      <w:pPr>
        <w:pStyle w:val="52"/>
        <w:spacing w:line="360" w:lineRule="auto"/>
        <w:rPr>
          <w:rFonts w:hint="eastAsia" w:ascii="仿宋" w:hAnsi="仿宋" w:eastAsia="仿宋" w:cs="仿宋"/>
          <w:b/>
          <w:bCs/>
          <w:color w:val="auto"/>
          <w:highlight w:val="none"/>
        </w:rPr>
      </w:pPr>
      <w:bookmarkStart w:id="229" w:name="_Toc14859"/>
      <w:bookmarkStart w:id="230" w:name="_Toc3576"/>
      <w:bookmarkStart w:id="231" w:name="_Toc31662"/>
      <w:r>
        <w:rPr>
          <w:rFonts w:hint="eastAsia" w:ascii="仿宋" w:hAnsi="仿宋" w:eastAsia="仿宋" w:cs="仿宋"/>
          <w:b/>
          <w:bCs/>
          <w:color w:val="auto"/>
          <w:highlight w:val="none"/>
        </w:rPr>
        <w:t>3.5资格审查资料</w:t>
      </w:r>
      <w:bookmarkEnd w:id="223"/>
      <w:bookmarkEnd w:id="224"/>
      <w:bookmarkEnd w:id="225"/>
      <w:bookmarkEnd w:id="226"/>
      <w:bookmarkEnd w:id="227"/>
      <w:bookmarkEnd w:id="228"/>
      <w:bookmarkEnd w:id="229"/>
      <w:bookmarkEnd w:id="230"/>
      <w:bookmarkEnd w:id="231"/>
    </w:p>
    <w:p w14:paraId="6D1E0330">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3.5.1符合投标人须知前附表1.4.1项规定的资格条件。</w:t>
      </w:r>
    </w:p>
    <w:p w14:paraId="42C38C0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3.5.2</w:t>
      </w:r>
      <w:r>
        <w:rPr>
          <w:rFonts w:hint="eastAsia" w:ascii="仿宋" w:hAnsi="仿宋" w:eastAsia="仿宋" w:cs="仿宋"/>
          <w:color w:val="auto"/>
          <w:sz w:val="24"/>
          <w:highlight w:val="none"/>
        </w:rPr>
        <w:t>近年财务状况的年份要求：见</w:t>
      </w:r>
      <w:r>
        <w:rPr>
          <w:rFonts w:hint="eastAsia" w:ascii="仿宋" w:hAnsi="仿宋" w:eastAsia="仿宋" w:cs="仿宋"/>
          <w:color w:val="auto"/>
          <w:sz w:val="24"/>
          <w:szCs w:val="32"/>
          <w:highlight w:val="none"/>
        </w:rPr>
        <w:t>投标人须知前附表。</w:t>
      </w:r>
    </w:p>
    <w:p w14:paraId="119F2B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3.5.3近年完成的类似项目的年份要求：见</w:t>
      </w:r>
      <w:r>
        <w:rPr>
          <w:rFonts w:hint="eastAsia" w:ascii="仿宋" w:hAnsi="仿宋" w:eastAsia="仿宋" w:cs="仿宋"/>
          <w:color w:val="auto"/>
          <w:sz w:val="24"/>
          <w:szCs w:val="32"/>
          <w:highlight w:val="none"/>
        </w:rPr>
        <w:t>投标人须知前附表。</w:t>
      </w:r>
    </w:p>
    <w:p w14:paraId="4C4AC6DB">
      <w:pPr>
        <w:pStyle w:val="52"/>
        <w:spacing w:line="360" w:lineRule="auto"/>
        <w:rPr>
          <w:rFonts w:hint="eastAsia" w:ascii="仿宋" w:hAnsi="仿宋" w:eastAsia="仿宋" w:cs="仿宋"/>
          <w:b/>
          <w:bCs/>
          <w:color w:val="auto"/>
          <w:highlight w:val="none"/>
        </w:rPr>
      </w:pPr>
      <w:bookmarkStart w:id="232" w:name="_Toc14726"/>
      <w:bookmarkStart w:id="233" w:name="_Toc152045553"/>
      <w:bookmarkStart w:id="234" w:name="_Toc106712854"/>
      <w:bookmarkStart w:id="235" w:name="_Toc32494"/>
      <w:bookmarkStart w:id="236" w:name="_Toc19500"/>
      <w:bookmarkStart w:id="237" w:name="_Toc8423553"/>
      <w:bookmarkStart w:id="238" w:name="_Toc152042329"/>
      <w:bookmarkStart w:id="239" w:name="_Toc144974521"/>
      <w:bookmarkStart w:id="240" w:name="_Toc38209142"/>
      <w:r>
        <w:rPr>
          <w:rFonts w:hint="eastAsia" w:ascii="仿宋" w:hAnsi="仿宋" w:eastAsia="仿宋" w:cs="仿宋"/>
          <w:b/>
          <w:bCs/>
          <w:color w:val="auto"/>
          <w:highlight w:val="none"/>
        </w:rPr>
        <w:t>3.6 备选投标方案</w:t>
      </w:r>
      <w:bookmarkEnd w:id="232"/>
      <w:bookmarkEnd w:id="233"/>
      <w:bookmarkEnd w:id="234"/>
      <w:bookmarkEnd w:id="235"/>
      <w:bookmarkEnd w:id="236"/>
      <w:bookmarkEnd w:id="237"/>
      <w:bookmarkEnd w:id="238"/>
      <w:bookmarkEnd w:id="239"/>
      <w:bookmarkEnd w:id="240"/>
    </w:p>
    <w:p w14:paraId="5DA68CDF">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143CD16A">
      <w:pPr>
        <w:pStyle w:val="52"/>
        <w:spacing w:line="360" w:lineRule="auto"/>
        <w:rPr>
          <w:rFonts w:hint="eastAsia" w:ascii="仿宋" w:hAnsi="仿宋" w:eastAsia="仿宋" w:cs="仿宋"/>
          <w:b/>
          <w:bCs/>
          <w:color w:val="auto"/>
          <w:highlight w:val="none"/>
        </w:rPr>
      </w:pPr>
      <w:bookmarkStart w:id="241" w:name="_Toc106712855"/>
      <w:bookmarkStart w:id="242" w:name="_Toc38209143"/>
      <w:bookmarkStart w:id="243" w:name="_Toc2477"/>
      <w:bookmarkStart w:id="244" w:name="_Toc10916"/>
      <w:bookmarkStart w:id="245" w:name="_Toc152045554"/>
      <w:bookmarkStart w:id="246" w:name="_Toc6649"/>
      <w:bookmarkStart w:id="247" w:name="_Toc152042330"/>
      <w:bookmarkStart w:id="248" w:name="_Toc8423554"/>
      <w:bookmarkStart w:id="249" w:name="_Toc144974522"/>
      <w:r>
        <w:rPr>
          <w:rFonts w:hint="eastAsia" w:ascii="仿宋" w:hAnsi="仿宋" w:eastAsia="仿宋" w:cs="仿宋"/>
          <w:b/>
          <w:bCs/>
          <w:color w:val="auto"/>
          <w:highlight w:val="none"/>
        </w:rPr>
        <w:t>3.7 投标文件的编制</w:t>
      </w:r>
      <w:bookmarkEnd w:id="241"/>
      <w:bookmarkEnd w:id="242"/>
      <w:bookmarkEnd w:id="243"/>
      <w:bookmarkEnd w:id="244"/>
      <w:bookmarkEnd w:id="245"/>
      <w:bookmarkEnd w:id="246"/>
      <w:bookmarkEnd w:id="247"/>
      <w:bookmarkEnd w:id="248"/>
      <w:bookmarkEnd w:id="249"/>
    </w:p>
    <w:p w14:paraId="74CA8B35">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3.7.1投标文件应按第七章“投标文件格式”进行编写，如有必要，可以增加附页，作为投标文件的组成部分。</w:t>
      </w:r>
    </w:p>
    <w:p w14:paraId="05E20BEF">
      <w:pPr>
        <w:pBdr>
          <w:between w:val="single" w:color="auto" w:sz="4" w:space="0"/>
        </w:pBd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3.7.2投标文件应当对招标文件有关</w:t>
      </w:r>
      <w:r>
        <w:rPr>
          <w:rFonts w:hint="eastAsia" w:ascii="仿宋" w:hAnsi="仿宋" w:eastAsia="仿宋" w:cs="仿宋"/>
          <w:color w:val="auto"/>
          <w:sz w:val="24"/>
          <w:highlight w:val="none"/>
        </w:rPr>
        <w:t>工期</w:t>
      </w:r>
      <w:r>
        <w:rPr>
          <w:rFonts w:hint="eastAsia" w:ascii="仿宋" w:hAnsi="仿宋" w:eastAsia="仿宋" w:cs="仿宋"/>
          <w:color w:val="auto"/>
          <w:sz w:val="24"/>
          <w:szCs w:val="32"/>
          <w:highlight w:val="none"/>
        </w:rPr>
        <w:t>、质量标准、</w:t>
      </w:r>
      <w:r>
        <w:rPr>
          <w:rFonts w:hint="eastAsia" w:ascii="仿宋" w:hAnsi="仿宋" w:eastAsia="仿宋" w:cs="仿宋"/>
          <w:color w:val="auto"/>
          <w:sz w:val="24"/>
          <w:szCs w:val="32"/>
          <w:highlight w:val="none"/>
          <w:lang w:val="en-US" w:eastAsia="zh-CN"/>
        </w:rPr>
        <w:t>安全目标、文明工地目标、扬尘防治目标、缺陷责任期</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付款方式</w:t>
      </w:r>
      <w:r>
        <w:rPr>
          <w:rFonts w:hint="eastAsia" w:ascii="仿宋" w:hAnsi="仿宋" w:eastAsia="仿宋" w:cs="仿宋"/>
          <w:color w:val="auto"/>
          <w:sz w:val="24"/>
          <w:szCs w:val="32"/>
          <w:highlight w:val="none"/>
        </w:rPr>
        <w:t>等实质性内容作出响应。投标文件在满足招标文件实质性要求的基础上，可以提出比招标文件要求更有利于招标人的承诺。</w:t>
      </w:r>
    </w:p>
    <w:p w14:paraId="7A99A542">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3.7.3投标文件全部采用电子文档，除投标人须知前附表另有规定外，投标文件所附证书证件均为扫描件，并采用单位和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和（或）盖章的具体要求见投标人须知前附表。</w:t>
      </w:r>
      <w:bookmarkStart w:id="250" w:name="_Hlk12795122"/>
    </w:p>
    <w:p w14:paraId="75EB820C">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3.7.4综合标暗标格式：详见投标人须知前附表。</w:t>
      </w:r>
    </w:p>
    <w:bookmarkEnd w:id="250"/>
    <w:p w14:paraId="39B84386">
      <w:pPr>
        <w:pStyle w:val="35"/>
        <w:spacing w:before="159" w:line="360" w:lineRule="auto"/>
        <w:rPr>
          <w:rFonts w:hint="eastAsia" w:ascii="仿宋" w:hAnsi="仿宋" w:cs="仿宋"/>
          <w:b/>
          <w:bCs/>
          <w:color w:val="auto"/>
          <w:highlight w:val="none"/>
        </w:rPr>
      </w:pPr>
      <w:bookmarkStart w:id="251" w:name="_Toc12861"/>
      <w:bookmarkStart w:id="252" w:name="_Toc144974523"/>
      <w:bookmarkStart w:id="253" w:name="_Toc3303"/>
      <w:bookmarkStart w:id="254" w:name="_Toc152045555"/>
      <w:bookmarkStart w:id="255" w:name="_Toc152042331"/>
      <w:r>
        <w:rPr>
          <w:rFonts w:hint="eastAsia" w:ascii="仿宋" w:hAnsi="仿宋" w:cs="仿宋"/>
          <w:b/>
          <w:bCs/>
          <w:color w:val="auto"/>
          <w:highlight w:val="none"/>
        </w:rPr>
        <w:t>4、投标</w:t>
      </w:r>
      <w:bookmarkEnd w:id="251"/>
      <w:bookmarkEnd w:id="252"/>
      <w:bookmarkEnd w:id="253"/>
      <w:bookmarkEnd w:id="254"/>
      <w:bookmarkEnd w:id="255"/>
    </w:p>
    <w:p w14:paraId="40922491">
      <w:pPr>
        <w:pStyle w:val="52"/>
        <w:spacing w:line="360" w:lineRule="auto"/>
        <w:rPr>
          <w:rFonts w:hint="eastAsia" w:ascii="仿宋" w:hAnsi="仿宋" w:eastAsia="仿宋" w:cs="仿宋"/>
          <w:b/>
          <w:bCs/>
          <w:color w:val="auto"/>
          <w:highlight w:val="none"/>
        </w:rPr>
      </w:pPr>
      <w:bookmarkStart w:id="256" w:name="_Toc21453"/>
      <w:bookmarkStart w:id="257" w:name="_Toc38209145"/>
      <w:bookmarkStart w:id="258" w:name="_Toc18883"/>
      <w:bookmarkStart w:id="259" w:name="_Toc14128"/>
      <w:bookmarkStart w:id="260" w:name="_Toc106712857"/>
      <w:r>
        <w:rPr>
          <w:rFonts w:hint="eastAsia" w:ascii="仿宋" w:hAnsi="仿宋" w:eastAsia="仿宋" w:cs="仿宋"/>
          <w:b/>
          <w:bCs/>
          <w:color w:val="auto"/>
          <w:highlight w:val="none"/>
        </w:rPr>
        <w:t>4.1 投标文件的密封和标记</w:t>
      </w:r>
      <w:bookmarkEnd w:id="256"/>
      <w:bookmarkEnd w:id="257"/>
      <w:bookmarkEnd w:id="258"/>
      <w:bookmarkEnd w:id="259"/>
      <w:bookmarkEnd w:id="260"/>
    </w:p>
    <w:p w14:paraId="776FB7C7">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本项目为电子递交。投标人不须递交纸质版投标文件。</w:t>
      </w:r>
    </w:p>
    <w:p w14:paraId="779B82E4">
      <w:pPr>
        <w:pStyle w:val="52"/>
        <w:spacing w:line="360" w:lineRule="auto"/>
        <w:rPr>
          <w:rFonts w:hint="eastAsia" w:ascii="仿宋" w:hAnsi="仿宋" w:eastAsia="仿宋" w:cs="仿宋"/>
          <w:b/>
          <w:bCs/>
          <w:color w:val="auto"/>
          <w:highlight w:val="none"/>
        </w:rPr>
      </w:pPr>
      <w:bookmarkStart w:id="261" w:name="_Toc106712858"/>
      <w:bookmarkStart w:id="262" w:name="_Toc10872"/>
      <w:bookmarkStart w:id="263" w:name="_Toc27844"/>
      <w:bookmarkStart w:id="264" w:name="_Toc38209146"/>
      <w:bookmarkStart w:id="265" w:name="_Toc16583"/>
      <w:r>
        <w:rPr>
          <w:rFonts w:hint="eastAsia" w:ascii="仿宋" w:hAnsi="仿宋" w:eastAsia="仿宋" w:cs="仿宋"/>
          <w:b/>
          <w:bCs/>
          <w:color w:val="auto"/>
          <w:highlight w:val="none"/>
        </w:rPr>
        <w:t>4.2 投标文件的递交</w:t>
      </w:r>
      <w:bookmarkEnd w:id="261"/>
      <w:bookmarkEnd w:id="262"/>
      <w:bookmarkEnd w:id="263"/>
      <w:bookmarkEnd w:id="264"/>
      <w:bookmarkEnd w:id="265"/>
    </w:p>
    <w:p w14:paraId="5C89EE38">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szCs w:val="32"/>
          <w:highlight w:val="none"/>
        </w:rPr>
        <w:t>4.2.1投标</w:t>
      </w:r>
      <w:r>
        <w:rPr>
          <w:rFonts w:hint="eastAsia" w:ascii="仿宋" w:hAnsi="仿宋" w:eastAsia="仿宋" w:cs="仿宋"/>
          <w:color w:val="auto"/>
          <w:kern w:val="2"/>
          <w:highlight w:val="none"/>
        </w:rPr>
        <w:t>人应在投标人须知前附表规定的投标截止时间前递交投标文件。开标时因投标人自身原因而导致投标文件无法导入“洛阳市电子招投标交易平台”电子开标、评标系统，该投标视为无效投标，投标人自行承担由此导致的全部责任。</w:t>
      </w:r>
    </w:p>
    <w:p w14:paraId="1C715AF5">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szCs w:val="32"/>
          <w:highlight w:val="none"/>
        </w:rPr>
        <w:t>4.2.2投标</w:t>
      </w:r>
      <w:r>
        <w:rPr>
          <w:rFonts w:hint="eastAsia" w:ascii="仿宋" w:hAnsi="仿宋" w:eastAsia="仿宋" w:cs="仿宋"/>
          <w:color w:val="auto"/>
          <w:kern w:val="2"/>
          <w:highlight w:val="none"/>
        </w:rPr>
        <w:t>文件递交截止时间及地点：见投标人须知前附表。</w:t>
      </w:r>
    </w:p>
    <w:p w14:paraId="6EA5598B">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4</w:t>
      </w:r>
      <w:r>
        <w:rPr>
          <w:rFonts w:hint="eastAsia" w:ascii="仿宋" w:hAnsi="仿宋" w:eastAsia="仿宋" w:cs="仿宋"/>
          <w:color w:val="auto"/>
          <w:kern w:val="2"/>
          <w:szCs w:val="32"/>
          <w:highlight w:val="none"/>
        </w:rPr>
        <w:t>.2.3逾期送达的</w:t>
      </w:r>
      <w:r>
        <w:rPr>
          <w:rFonts w:hint="eastAsia" w:ascii="仿宋" w:hAnsi="仿宋" w:eastAsia="仿宋" w:cs="仿宋"/>
          <w:color w:val="auto"/>
          <w:kern w:val="2"/>
          <w:highlight w:val="none"/>
        </w:rPr>
        <w:t>或者未送达指定地点的投标文件，招标人不予受理。</w:t>
      </w:r>
    </w:p>
    <w:p w14:paraId="729C6AEF">
      <w:pPr>
        <w:pStyle w:val="52"/>
        <w:spacing w:line="360" w:lineRule="auto"/>
        <w:rPr>
          <w:rFonts w:hint="eastAsia" w:ascii="仿宋" w:hAnsi="仿宋" w:eastAsia="仿宋" w:cs="仿宋"/>
          <w:b/>
          <w:bCs/>
          <w:color w:val="auto"/>
          <w:highlight w:val="none"/>
        </w:rPr>
      </w:pPr>
      <w:bookmarkStart w:id="266" w:name="_Toc106712859"/>
      <w:bookmarkStart w:id="267" w:name="_Toc38209147"/>
      <w:bookmarkStart w:id="268" w:name="_Toc12149"/>
      <w:bookmarkStart w:id="269" w:name="_Toc22443"/>
      <w:bookmarkStart w:id="270" w:name="_Toc17682"/>
      <w:r>
        <w:rPr>
          <w:rFonts w:hint="eastAsia" w:ascii="仿宋" w:hAnsi="仿宋" w:eastAsia="仿宋" w:cs="仿宋"/>
          <w:b/>
          <w:bCs/>
          <w:color w:val="auto"/>
          <w:highlight w:val="none"/>
        </w:rPr>
        <w:t>4.3 投标文件的修改与撤回</w:t>
      </w:r>
      <w:bookmarkEnd w:id="266"/>
      <w:bookmarkEnd w:id="267"/>
      <w:bookmarkEnd w:id="268"/>
      <w:bookmarkEnd w:id="269"/>
      <w:bookmarkEnd w:id="270"/>
    </w:p>
    <w:p w14:paraId="30B5B98C">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szCs w:val="32"/>
          <w:highlight w:val="none"/>
        </w:rPr>
        <w:t>4.3.1在</w:t>
      </w:r>
      <w:r>
        <w:rPr>
          <w:rFonts w:hint="eastAsia" w:ascii="仿宋" w:hAnsi="仿宋" w:eastAsia="仿宋" w:cs="仿宋"/>
          <w:color w:val="auto"/>
          <w:kern w:val="2"/>
          <w:highlight w:val="none"/>
        </w:rPr>
        <w:t>本章第4.2.1项规定的投标截止时间前，投标人可以修改或撤回已递交的投标文件，但应以书面形式通知招标人。</w:t>
      </w:r>
    </w:p>
    <w:p w14:paraId="4B3EB990">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szCs w:val="32"/>
          <w:highlight w:val="none"/>
        </w:rPr>
        <w:t>4.3.2投</w:t>
      </w:r>
      <w:r>
        <w:rPr>
          <w:rFonts w:hint="eastAsia" w:ascii="仿宋" w:hAnsi="仿宋" w:eastAsia="仿宋" w:cs="仿宋"/>
          <w:color w:val="auto"/>
          <w:kern w:val="2"/>
          <w:highlight w:val="none"/>
        </w:rPr>
        <w:t>标人修改或撤回已递交投标文件的书面通知应按照本章第3.7.3项的要求签字或盖章。</w:t>
      </w:r>
    </w:p>
    <w:p w14:paraId="0BCF44C4">
      <w:pPr>
        <w:pStyle w:val="9"/>
        <w:snapToGrid w:val="0"/>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4.3.3修改的内容为投标文件的组成部分。修改的投标文件应按照本章第3条、第4条的规定进行编制、加密、标记和递交，并标明“修改”字样。</w:t>
      </w:r>
    </w:p>
    <w:p w14:paraId="3C7FE558">
      <w:pPr>
        <w:pStyle w:val="35"/>
        <w:spacing w:before="159" w:line="360" w:lineRule="auto"/>
        <w:rPr>
          <w:rFonts w:hint="eastAsia" w:ascii="仿宋" w:hAnsi="仿宋" w:cs="仿宋"/>
          <w:b/>
          <w:bCs/>
          <w:color w:val="auto"/>
          <w:highlight w:val="none"/>
        </w:rPr>
      </w:pPr>
      <w:bookmarkStart w:id="271" w:name="_Toc152045559"/>
      <w:bookmarkStart w:id="272" w:name="_Toc26469"/>
      <w:bookmarkStart w:id="273" w:name="_Toc152042335"/>
      <w:bookmarkStart w:id="274" w:name="_Toc144974527"/>
      <w:bookmarkStart w:id="275" w:name="_Toc31473"/>
      <w:r>
        <w:rPr>
          <w:rFonts w:hint="eastAsia" w:ascii="仿宋" w:hAnsi="仿宋" w:cs="仿宋"/>
          <w:b/>
          <w:bCs/>
          <w:color w:val="auto"/>
          <w:highlight w:val="none"/>
        </w:rPr>
        <w:t>5、开标</w:t>
      </w:r>
      <w:bookmarkEnd w:id="271"/>
      <w:bookmarkEnd w:id="272"/>
      <w:bookmarkEnd w:id="273"/>
      <w:bookmarkEnd w:id="274"/>
      <w:bookmarkEnd w:id="275"/>
    </w:p>
    <w:p w14:paraId="48F5C7C3">
      <w:pPr>
        <w:pStyle w:val="52"/>
        <w:spacing w:line="360" w:lineRule="auto"/>
        <w:rPr>
          <w:rFonts w:hint="eastAsia" w:ascii="仿宋" w:hAnsi="仿宋" w:eastAsia="仿宋" w:cs="仿宋"/>
          <w:b/>
          <w:bCs/>
          <w:color w:val="auto"/>
          <w:highlight w:val="none"/>
        </w:rPr>
      </w:pPr>
      <w:bookmarkStart w:id="276" w:name="_Toc60"/>
      <w:bookmarkStart w:id="277" w:name="_Toc152042336"/>
      <w:bookmarkStart w:id="278" w:name="_Toc106712861"/>
      <w:bookmarkStart w:id="279" w:name="_Toc38209149"/>
      <w:bookmarkStart w:id="280" w:name="_Toc8423560"/>
      <w:bookmarkStart w:id="281" w:name="_Toc5705"/>
      <w:bookmarkStart w:id="282" w:name="_Toc22978"/>
      <w:bookmarkStart w:id="283" w:name="_Toc144974528"/>
      <w:bookmarkStart w:id="284" w:name="_Toc152045560"/>
      <w:r>
        <w:rPr>
          <w:rFonts w:hint="eastAsia" w:ascii="仿宋" w:hAnsi="仿宋" w:eastAsia="仿宋" w:cs="仿宋"/>
          <w:b/>
          <w:bCs/>
          <w:color w:val="auto"/>
          <w:highlight w:val="none"/>
        </w:rPr>
        <w:t>5.1 开标时间和地点</w:t>
      </w:r>
      <w:bookmarkEnd w:id="276"/>
      <w:bookmarkEnd w:id="277"/>
      <w:bookmarkEnd w:id="278"/>
      <w:bookmarkEnd w:id="279"/>
      <w:bookmarkEnd w:id="280"/>
      <w:bookmarkEnd w:id="281"/>
      <w:bookmarkEnd w:id="282"/>
      <w:bookmarkEnd w:id="283"/>
      <w:bookmarkEnd w:id="284"/>
    </w:p>
    <w:p w14:paraId="7E0CEE14">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招标人在本章第2.2.2项规定的投标截止时间（开标时间）和投标人须知前附表规定的地点公开开标，并邀请所有投标人的法定代表人或其委托代理人（携带企业CA数字证书）登录不见面开标大厅选择洛阳市公共资源电子招投标系统网络在线准时参加开标。</w:t>
      </w:r>
    </w:p>
    <w:p w14:paraId="17637CDE">
      <w:pPr>
        <w:pStyle w:val="52"/>
        <w:spacing w:line="360" w:lineRule="auto"/>
        <w:rPr>
          <w:rFonts w:hint="eastAsia" w:ascii="仿宋" w:hAnsi="仿宋" w:eastAsia="仿宋" w:cs="仿宋"/>
          <w:b/>
          <w:bCs/>
          <w:color w:val="auto"/>
          <w:highlight w:val="none"/>
        </w:rPr>
      </w:pPr>
      <w:bookmarkStart w:id="285" w:name="_Toc29621"/>
      <w:bookmarkStart w:id="286" w:name="_Toc144974529"/>
      <w:bookmarkStart w:id="287" w:name="_Toc27286"/>
      <w:bookmarkStart w:id="288" w:name="_Toc38209150"/>
      <w:bookmarkStart w:id="289" w:name="_Toc152045561"/>
      <w:bookmarkStart w:id="290" w:name="_Toc17839"/>
      <w:bookmarkStart w:id="291" w:name="_Toc8423561"/>
      <w:bookmarkStart w:id="292" w:name="_Toc106712862"/>
      <w:bookmarkStart w:id="293" w:name="_Toc152042337"/>
      <w:r>
        <w:rPr>
          <w:rFonts w:hint="eastAsia" w:ascii="仿宋" w:hAnsi="仿宋" w:eastAsia="仿宋" w:cs="仿宋"/>
          <w:b/>
          <w:bCs/>
          <w:color w:val="auto"/>
          <w:highlight w:val="none"/>
        </w:rPr>
        <w:t>5.2开标程序</w:t>
      </w:r>
      <w:bookmarkEnd w:id="285"/>
      <w:bookmarkEnd w:id="286"/>
      <w:bookmarkEnd w:id="287"/>
      <w:bookmarkEnd w:id="288"/>
      <w:bookmarkEnd w:id="289"/>
      <w:bookmarkEnd w:id="290"/>
      <w:bookmarkEnd w:id="291"/>
      <w:bookmarkEnd w:id="292"/>
      <w:bookmarkEnd w:id="293"/>
    </w:p>
    <w:p w14:paraId="560B72D9">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5.2.1主持人按下列程序进行开标：</w:t>
      </w:r>
    </w:p>
    <w:p w14:paraId="224ED5D7">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（1）公布在投标截止时间前递交投标文件的投标人名称；</w:t>
      </w:r>
    </w:p>
    <w:p w14:paraId="04D995D9">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人在规定时间内解密电子投标文件。因投标人原因造成投标文件未能解密的，视为撤销其投标文件；因投标人之外的原因造成投标文件未解密的，视为撤回其投标文件。部分投标文件未解密的，其他投标文件的开标继续进行；</w:t>
      </w:r>
    </w:p>
    <w:p w14:paraId="0278D7EF">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（3）公布投标情况，投标人通过开标系统查看开标情况；</w:t>
      </w:r>
    </w:p>
    <w:p w14:paraId="2C66B49A">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）开标结束，生成开标记录。</w:t>
      </w:r>
    </w:p>
    <w:p w14:paraId="067BB3AF">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5.2.2当出现以下情况时，中止开标，对资料及信息进行保密处理，恢复正常后及时安排时间继续开标：</w:t>
      </w:r>
    </w:p>
    <w:p w14:paraId="4B525920">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（1）系统服务器发生故障，无法访问或无法使用系统；</w:t>
      </w:r>
    </w:p>
    <w:p w14:paraId="0C91F8F9">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（2）系统的软件或数据库出现错误，不能进行正常操作；</w:t>
      </w:r>
    </w:p>
    <w:p w14:paraId="64847542">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（3）系统发现有安全漏洞，有潜在的泄密危险；</w:t>
      </w:r>
    </w:p>
    <w:p w14:paraId="7B120437">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（4）出现断电事故且短时间内无法恢复供电；</w:t>
      </w:r>
    </w:p>
    <w:p w14:paraId="3774C477">
      <w:pPr>
        <w:spacing w:line="360" w:lineRule="auto"/>
        <w:ind w:firstLine="410" w:firstLineChars="17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（5）无法保证招投标过程正常进行的其他情形。</w:t>
      </w:r>
    </w:p>
    <w:p w14:paraId="3452CD6A">
      <w:pPr>
        <w:pStyle w:val="35"/>
        <w:spacing w:before="159" w:line="360" w:lineRule="auto"/>
        <w:rPr>
          <w:rFonts w:hint="eastAsia" w:ascii="仿宋" w:hAnsi="仿宋" w:cs="仿宋"/>
          <w:b/>
          <w:bCs/>
          <w:color w:val="auto"/>
          <w:highlight w:val="none"/>
        </w:rPr>
      </w:pPr>
      <w:bookmarkStart w:id="294" w:name="_Toc17464"/>
      <w:bookmarkStart w:id="295" w:name="_Toc26368"/>
      <w:bookmarkStart w:id="296" w:name="_Toc152042338"/>
      <w:bookmarkStart w:id="297" w:name="_Toc152045562"/>
      <w:bookmarkStart w:id="298" w:name="_Toc144974530"/>
      <w:r>
        <w:rPr>
          <w:rFonts w:hint="eastAsia" w:ascii="仿宋" w:hAnsi="仿宋" w:cs="仿宋"/>
          <w:b/>
          <w:bCs/>
          <w:color w:val="auto"/>
          <w:highlight w:val="none"/>
        </w:rPr>
        <w:t>6、评标</w:t>
      </w:r>
      <w:bookmarkEnd w:id="294"/>
      <w:bookmarkEnd w:id="295"/>
      <w:bookmarkEnd w:id="296"/>
      <w:bookmarkEnd w:id="297"/>
      <w:bookmarkEnd w:id="298"/>
    </w:p>
    <w:p w14:paraId="3BD6FF65">
      <w:pPr>
        <w:pStyle w:val="52"/>
        <w:spacing w:line="360" w:lineRule="auto"/>
        <w:rPr>
          <w:rFonts w:hint="eastAsia" w:ascii="仿宋" w:hAnsi="仿宋" w:eastAsia="仿宋" w:cs="仿宋"/>
          <w:b/>
          <w:bCs/>
          <w:color w:val="auto"/>
          <w:highlight w:val="none"/>
        </w:rPr>
      </w:pPr>
      <w:bookmarkStart w:id="299" w:name="_Toc12127"/>
      <w:bookmarkStart w:id="300" w:name="_Toc106712867"/>
      <w:bookmarkStart w:id="301" w:name="_Toc19693"/>
      <w:bookmarkStart w:id="302" w:name="_Toc152042339"/>
      <w:bookmarkStart w:id="303" w:name="_Toc38209155"/>
      <w:bookmarkStart w:id="304" w:name="_Toc144974531"/>
      <w:bookmarkStart w:id="305" w:name="_Toc27637"/>
      <w:bookmarkStart w:id="306" w:name="_Toc8423563"/>
      <w:bookmarkStart w:id="307" w:name="_Toc152045563"/>
      <w:r>
        <w:rPr>
          <w:rFonts w:hint="eastAsia" w:ascii="仿宋" w:hAnsi="仿宋" w:eastAsia="仿宋" w:cs="仿宋"/>
          <w:b/>
          <w:bCs/>
          <w:color w:val="auto"/>
          <w:highlight w:val="none"/>
        </w:rPr>
        <w:t>6.1评标委员会</w:t>
      </w:r>
      <w:bookmarkEnd w:id="299"/>
      <w:bookmarkEnd w:id="300"/>
      <w:bookmarkEnd w:id="301"/>
      <w:bookmarkEnd w:id="302"/>
      <w:bookmarkEnd w:id="303"/>
      <w:bookmarkEnd w:id="304"/>
      <w:bookmarkEnd w:id="305"/>
      <w:bookmarkEnd w:id="306"/>
      <w:bookmarkEnd w:id="307"/>
    </w:p>
    <w:p w14:paraId="717DC4AC">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464D242">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6.1.2评标委员会成员有下列情形之一的，应当回避：</w:t>
      </w:r>
    </w:p>
    <w:p w14:paraId="23D9A58E">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（1）投标人或投标人的主要负责人的近亲属；</w:t>
      </w:r>
    </w:p>
    <w:p w14:paraId="7E52A74D">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（2）项目主管部门或者行政监督部门的人员；</w:t>
      </w:r>
    </w:p>
    <w:p w14:paraId="5D4469D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（3）与投标人有经济利益关系，可能影响对投标公正评审的；</w:t>
      </w:r>
    </w:p>
    <w:p w14:paraId="22ED05A9">
      <w:pPr>
        <w:spacing w:line="360" w:lineRule="auto"/>
        <w:ind w:firstLine="480" w:firstLineChars="200"/>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rPr>
        <w:t>（4）曾因在招标、评标以及其他与招标投标有关活动中从事违法行为而受过行政处罚或刑事处罚的</w:t>
      </w:r>
      <w:r>
        <w:rPr>
          <w:rFonts w:hint="eastAsia" w:ascii="仿宋" w:hAnsi="仿宋" w:eastAsia="仿宋" w:cs="仿宋"/>
          <w:color w:val="auto"/>
          <w:sz w:val="24"/>
          <w:szCs w:val="32"/>
          <w:highlight w:val="none"/>
          <w:lang w:eastAsia="zh-CN"/>
        </w:rPr>
        <w:t>；</w:t>
      </w:r>
    </w:p>
    <w:p w14:paraId="3DB501D0">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（5）与投标人有其他利害关系。</w:t>
      </w:r>
    </w:p>
    <w:p w14:paraId="12FFF8B1">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6.1.3评标过程中，评标委员会成员有回避事由、擅离职守或者因健康等原因不能继续评标的，招标人有权更换。被更换的评标委员会成员作出的评审结论无效，由更换后的评标委员会成员重新进行评审。</w:t>
      </w:r>
    </w:p>
    <w:p w14:paraId="3DBD3501">
      <w:pPr>
        <w:pStyle w:val="52"/>
        <w:spacing w:line="360" w:lineRule="auto"/>
        <w:rPr>
          <w:rFonts w:hint="eastAsia" w:ascii="仿宋" w:hAnsi="仿宋" w:eastAsia="仿宋" w:cs="仿宋"/>
          <w:b/>
          <w:bCs/>
          <w:color w:val="auto"/>
          <w:highlight w:val="none"/>
        </w:rPr>
      </w:pPr>
      <w:bookmarkStart w:id="308" w:name="_Toc106712868"/>
      <w:bookmarkStart w:id="309" w:name="_Toc152045564"/>
      <w:bookmarkStart w:id="310" w:name="_Toc144974532"/>
      <w:bookmarkStart w:id="311" w:name="_Toc8423564"/>
      <w:bookmarkStart w:id="312" w:name="_Toc29776"/>
      <w:bookmarkStart w:id="313" w:name="_Toc152042340"/>
      <w:bookmarkStart w:id="314" w:name="_Toc28821"/>
      <w:bookmarkStart w:id="315" w:name="_Toc8425"/>
      <w:bookmarkStart w:id="316" w:name="_Toc38209156"/>
      <w:r>
        <w:rPr>
          <w:rFonts w:hint="eastAsia" w:ascii="仿宋" w:hAnsi="仿宋" w:eastAsia="仿宋" w:cs="仿宋"/>
          <w:b/>
          <w:bCs/>
          <w:color w:val="auto"/>
          <w:highlight w:val="none"/>
        </w:rPr>
        <w:t>6.2评标原则</w:t>
      </w:r>
      <w:bookmarkEnd w:id="308"/>
      <w:bookmarkEnd w:id="309"/>
      <w:bookmarkEnd w:id="310"/>
      <w:bookmarkEnd w:id="311"/>
      <w:bookmarkEnd w:id="312"/>
      <w:bookmarkEnd w:id="313"/>
      <w:bookmarkEnd w:id="314"/>
      <w:bookmarkEnd w:id="315"/>
      <w:bookmarkEnd w:id="316"/>
    </w:p>
    <w:p w14:paraId="0F09911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评标活动遵循公平、公正、科学和择优的原则。</w:t>
      </w:r>
    </w:p>
    <w:p w14:paraId="01346887">
      <w:pPr>
        <w:pStyle w:val="52"/>
        <w:spacing w:line="360" w:lineRule="auto"/>
        <w:rPr>
          <w:rFonts w:hint="eastAsia" w:ascii="仿宋" w:hAnsi="仿宋" w:eastAsia="仿宋" w:cs="仿宋"/>
          <w:b/>
          <w:bCs/>
          <w:color w:val="auto"/>
          <w:highlight w:val="none"/>
        </w:rPr>
      </w:pPr>
      <w:bookmarkStart w:id="317" w:name="_Toc8423565"/>
      <w:bookmarkStart w:id="318" w:name="_Toc106712869"/>
      <w:bookmarkStart w:id="319" w:name="_Toc144974533"/>
      <w:bookmarkStart w:id="320" w:name="_Toc1056"/>
      <w:bookmarkStart w:id="321" w:name="_Toc16413"/>
      <w:bookmarkStart w:id="322" w:name="_Toc152042341"/>
      <w:bookmarkStart w:id="323" w:name="_Toc38209157"/>
      <w:bookmarkStart w:id="324" w:name="_Toc152045565"/>
      <w:bookmarkStart w:id="325" w:name="_Toc17436"/>
      <w:r>
        <w:rPr>
          <w:rFonts w:hint="eastAsia" w:ascii="仿宋" w:hAnsi="仿宋" w:eastAsia="仿宋" w:cs="仿宋"/>
          <w:b/>
          <w:bCs/>
          <w:color w:val="auto"/>
          <w:highlight w:val="none"/>
        </w:rPr>
        <w:t>6.3 评标</w:t>
      </w:r>
      <w:bookmarkEnd w:id="317"/>
      <w:bookmarkEnd w:id="318"/>
      <w:bookmarkEnd w:id="319"/>
      <w:bookmarkEnd w:id="320"/>
      <w:bookmarkEnd w:id="321"/>
      <w:bookmarkEnd w:id="322"/>
      <w:bookmarkEnd w:id="323"/>
      <w:bookmarkEnd w:id="324"/>
      <w:bookmarkEnd w:id="325"/>
    </w:p>
    <w:p w14:paraId="46A1410A">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6.3.1评标委员会按照第三章“评标办法”规定的方法、评审因素、标准和程序对投标文件进行评审。第三章“评标办法”没有规定的方法、评审因素和标准，不作为评标依据。</w:t>
      </w:r>
    </w:p>
    <w:p w14:paraId="27FFD291">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6.3.2评标完成后，评标委员会应当向招标人提交书面评标报告和中标候选人名单。评标委员会推荐中标候选人的人数见投标人须知前附表。</w:t>
      </w:r>
    </w:p>
    <w:p w14:paraId="543AE93E">
      <w:pPr>
        <w:pStyle w:val="35"/>
        <w:spacing w:before="159" w:line="360" w:lineRule="auto"/>
        <w:rPr>
          <w:rFonts w:hint="eastAsia" w:ascii="仿宋" w:hAnsi="仿宋" w:cs="仿宋"/>
          <w:b/>
          <w:bCs/>
          <w:color w:val="auto"/>
          <w:highlight w:val="none"/>
        </w:rPr>
      </w:pPr>
      <w:bookmarkStart w:id="326" w:name="_Toc11174"/>
      <w:bookmarkStart w:id="327" w:name="_Toc152045566"/>
      <w:bookmarkStart w:id="328" w:name="_Toc152042342"/>
      <w:bookmarkStart w:id="329" w:name="_Toc144974534"/>
      <w:bookmarkStart w:id="330" w:name="_Toc1658"/>
      <w:r>
        <w:rPr>
          <w:rFonts w:hint="eastAsia" w:ascii="仿宋" w:hAnsi="仿宋" w:cs="仿宋"/>
          <w:b/>
          <w:bCs/>
          <w:color w:val="auto"/>
          <w:highlight w:val="none"/>
        </w:rPr>
        <w:t>7、合同授予</w:t>
      </w:r>
      <w:bookmarkEnd w:id="326"/>
      <w:bookmarkEnd w:id="327"/>
      <w:bookmarkEnd w:id="328"/>
      <w:bookmarkEnd w:id="329"/>
      <w:bookmarkEnd w:id="330"/>
    </w:p>
    <w:p w14:paraId="31EE0469">
      <w:pPr>
        <w:pStyle w:val="52"/>
        <w:spacing w:line="360" w:lineRule="auto"/>
        <w:rPr>
          <w:rFonts w:hint="eastAsia" w:ascii="仿宋" w:hAnsi="仿宋" w:eastAsia="仿宋" w:cs="仿宋"/>
          <w:b/>
          <w:bCs/>
          <w:color w:val="auto"/>
          <w:highlight w:val="none"/>
        </w:rPr>
      </w:pPr>
      <w:bookmarkStart w:id="331" w:name="_Toc13696"/>
      <w:bookmarkStart w:id="332" w:name="_Toc2354"/>
      <w:bookmarkStart w:id="333" w:name="_Toc38209159"/>
      <w:bookmarkStart w:id="334" w:name="_Toc106712871"/>
      <w:bookmarkStart w:id="335" w:name="_Toc2167"/>
      <w:r>
        <w:rPr>
          <w:rFonts w:hint="eastAsia" w:ascii="仿宋" w:hAnsi="仿宋" w:eastAsia="仿宋" w:cs="仿宋"/>
          <w:b/>
          <w:bCs/>
          <w:color w:val="auto"/>
          <w:highlight w:val="none"/>
        </w:rPr>
        <w:t>7.1中标候选人公示</w:t>
      </w:r>
      <w:bookmarkEnd w:id="331"/>
      <w:bookmarkEnd w:id="332"/>
      <w:bookmarkEnd w:id="333"/>
      <w:bookmarkEnd w:id="334"/>
      <w:bookmarkEnd w:id="335"/>
    </w:p>
    <w:p w14:paraId="2A994C05">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招标人在收到评标报告之日起3日内，按照投标人须知前附表规定的公示媒介和期限公示中标候选人，公示期不得少于3日。</w:t>
      </w:r>
    </w:p>
    <w:p w14:paraId="2CAA40DE">
      <w:pPr>
        <w:pStyle w:val="52"/>
        <w:spacing w:line="360" w:lineRule="auto"/>
        <w:rPr>
          <w:rFonts w:hint="eastAsia" w:ascii="仿宋" w:hAnsi="仿宋" w:eastAsia="仿宋" w:cs="仿宋"/>
          <w:b/>
          <w:bCs/>
          <w:color w:val="auto"/>
          <w:highlight w:val="none"/>
        </w:rPr>
      </w:pPr>
      <w:bookmarkStart w:id="336" w:name="_Toc31456"/>
      <w:bookmarkStart w:id="337" w:name="_Toc38209160"/>
      <w:bookmarkStart w:id="338" w:name="_Toc27641"/>
      <w:bookmarkStart w:id="339" w:name="_Toc24972"/>
      <w:bookmarkStart w:id="340" w:name="_Toc106712872"/>
      <w:r>
        <w:rPr>
          <w:rFonts w:hint="eastAsia" w:ascii="仿宋" w:hAnsi="仿宋" w:eastAsia="仿宋" w:cs="仿宋"/>
          <w:b/>
          <w:bCs/>
          <w:color w:val="auto"/>
          <w:highlight w:val="none"/>
        </w:rPr>
        <w:t>7.2评标结果异议</w:t>
      </w:r>
      <w:bookmarkEnd w:id="336"/>
      <w:bookmarkEnd w:id="337"/>
      <w:bookmarkEnd w:id="338"/>
      <w:bookmarkEnd w:id="339"/>
      <w:bookmarkEnd w:id="340"/>
    </w:p>
    <w:p w14:paraId="30A63222">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投标人或者其他利害关系人对评标结果有异议的，应当在中标候选人公示期间提出。招标人将在收到异议之日起 3 日内作出答复；作出答复前，将暂停招标投标活动。</w:t>
      </w:r>
    </w:p>
    <w:p w14:paraId="532CEBA4">
      <w:pPr>
        <w:pStyle w:val="52"/>
        <w:spacing w:line="360" w:lineRule="auto"/>
        <w:rPr>
          <w:rFonts w:hint="eastAsia" w:ascii="仿宋" w:hAnsi="仿宋" w:eastAsia="仿宋" w:cs="仿宋"/>
          <w:b/>
          <w:bCs/>
          <w:color w:val="auto"/>
          <w:highlight w:val="none"/>
        </w:rPr>
      </w:pPr>
      <w:bookmarkStart w:id="341" w:name="_Toc30422"/>
      <w:bookmarkStart w:id="342" w:name="_Toc106712873"/>
      <w:bookmarkStart w:id="343" w:name="_Toc5480"/>
      <w:bookmarkStart w:id="344" w:name="_Toc20780"/>
      <w:bookmarkStart w:id="345" w:name="_Toc38209161"/>
      <w:r>
        <w:rPr>
          <w:rFonts w:hint="eastAsia" w:ascii="仿宋" w:hAnsi="仿宋" w:eastAsia="仿宋" w:cs="仿宋"/>
          <w:b/>
          <w:bCs/>
          <w:color w:val="auto"/>
          <w:highlight w:val="none"/>
        </w:rPr>
        <w:t>7.3中标候选人履约能力审查</w:t>
      </w:r>
      <w:bookmarkEnd w:id="341"/>
      <w:bookmarkEnd w:id="342"/>
      <w:bookmarkEnd w:id="343"/>
      <w:bookmarkEnd w:id="344"/>
      <w:bookmarkEnd w:id="345"/>
    </w:p>
    <w:p w14:paraId="2116CC6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1BA8A64B">
      <w:pPr>
        <w:pStyle w:val="52"/>
        <w:spacing w:line="360" w:lineRule="auto"/>
        <w:rPr>
          <w:rFonts w:hint="eastAsia" w:ascii="仿宋" w:hAnsi="仿宋" w:eastAsia="仿宋" w:cs="仿宋"/>
          <w:b/>
          <w:bCs/>
          <w:color w:val="auto"/>
          <w:highlight w:val="none"/>
        </w:rPr>
      </w:pPr>
      <w:bookmarkStart w:id="346" w:name="_Toc106712874"/>
      <w:bookmarkStart w:id="347" w:name="_Toc2482"/>
      <w:bookmarkStart w:id="348" w:name="_Toc38209162"/>
      <w:bookmarkStart w:id="349" w:name="_Toc12552"/>
      <w:bookmarkStart w:id="350" w:name="_Toc2958"/>
      <w:r>
        <w:rPr>
          <w:rFonts w:hint="eastAsia" w:ascii="仿宋" w:hAnsi="仿宋" w:eastAsia="仿宋" w:cs="仿宋"/>
          <w:b/>
          <w:bCs/>
          <w:color w:val="auto"/>
          <w:highlight w:val="none"/>
        </w:rPr>
        <w:t>7.4定标</w:t>
      </w:r>
      <w:bookmarkEnd w:id="346"/>
      <w:bookmarkEnd w:id="347"/>
      <w:bookmarkEnd w:id="348"/>
      <w:bookmarkEnd w:id="349"/>
      <w:bookmarkEnd w:id="350"/>
    </w:p>
    <w:p w14:paraId="16292499">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按照投标人须知前附表的规定。</w:t>
      </w:r>
    </w:p>
    <w:p w14:paraId="02E420E0">
      <w:pPr>
        <w:pStyle w:val="52"/>
        <w:spacing w:line="360" w:lineRule="auto"/>
        <w:rPr>
          <w:rFonts w:hint="eastAsia" w:ascii="仿宋" w:hAnsi="仿宋" w:eastAsia="仿宋" w:cs="仿宋"/>
          <w:b/>
          <w:bCs/>
          <w:color w:val="auto"/>
          <w:highlight w:val="none"/>
        </w:rPr>
      </w:pPr>
      <w:bookmarkStart w:id="351" w:name="_Toc38209163"/>
      <w:bookmarkStart w:id="352" w:name="_Toc16707"/>
      <w:bookmarkStart w:id="353" w:name="_Toc13723"/>
      <w:bookmarkStart w:id="354" w:name="_Toc106712875"/>
      <w:bookmarkStart w:id="355" w:name="_Toc1741"/>
      <w:r>
        <w:rPr>
          <w:rFonts w:hint="eastAsia" w:ascii="仿宋" w:hAnsi="仿宋" w:eastAsia="仿宋" w:cs="仿宋"/>
          <w:b/>
          <w:bCs/>
          <w:color w:val="auto"/>
          <w:highlight w:val="none"/>
        </w:rPr>
        <w:t>7.5中标通知</w:t>
      </w:r>
      <w:bookmarkEnd w:id="351"/>
      <w:bookmarkEnd w:id="352"/>
      <w:bookmarkEnd w:id="353"/>
      <w:bookmarkEnd w:id="354"/>
      <w:bookmarkEnd w:id="355"/>
    </w:p>
    <w:p w14:paraId="01EBB77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在本章第3.3款规定的投标有效期内，招标人以</w:t>
      </w:r>
      <w:r>
        <w:rPr>
          <w:rFonts w:hint="eastAsia" w:ascii="仿宋" w:hAnsi="仿宋" w:eastAsia="仿宋" w:cs="仿宋"/>
          <w:color w:val="auto"/>
          <w:sz w:val="24"/>
          <w:szCs w:val="32"/>
          <w:highlight w:val="none"/>
          <w:lang w:val="en-US" w:eastAsia="zh-CN"/>
        </w:rPr>
        <w:t>电子</w:t>
      </w:r>
      <w:r>
        <w:rPr>
          <w:rFonts w:hint="eastAsia" w:ascii="仿宋" w:hAnsi="仿宋" w:eastAsia="仿宋" w:cs="仿宋"/>
          <w:color w:val="auto"/>
          <w:sz w:val="24"/>
          <w:szCs w:val="32"/>
          <w:highlight w:val="none"/>
        </w:rPr>
        <w:t>形式向中标人发出中标通知书，同时将中标结果通知未中标的投标人。</w:t>
      </w:r>
    </w:p>
    <w:p w14:paraId="2B3A61B0">
      <w:pPr>
        <w:pStyle w:val="52"/>
        <w:spacing w:line="360" w:lineRule="auto"/>
        <w:rPr>
          <w:rFonts w:hint="eastAsia" w:ascii="仿宋" w:hAnsi="仿宋" w:eastAsia="仿宋" w:cs="仿宋"/>
          <w:b/>
          <w:bCs/>
          <w:color w:val="auto"/>
          <w:highlight w:val="none"/>
        </w:rPr>
      </w:pPr>
      <w:bookmarkStart w:id="356" w:name="_Toc152045569"/>
      <w:bookmarkStart w:id="357" w:name="_Toc38209164"/>
      <w:bookmarkStart w:id="358" w:name="_Toc9870"/>
      <w:bookmarkStart w:id="359" w:name="_Toc144974537"/>
      <w:bookmarkStart w:id="360" w:name="_Toc106712876"/>
      <w:bookmarkStart w:id="361" w:name="_Toc152042345"/>
      <w:bookmarkStart w:id="362" w:name="_Toc12072"/>
      <w:bookmarkStart w:id="363" w:name="_Toc11872"/>
      <w:bookmarkStart w:id="364" w:name="_Toc8423569"/>
      <w:r>
        <w:rPr>
          <w:rFonts w:hint="eastAsia" w:ascii="仿宋" w:hAnsi="仿宋" w:eastAsia="仿宋" w:cs="仿宋"/>
          <w:b/>
          <w:bCs/>
          <w:color w:val="auto"/>
          <w:highlight w:val="none"/>
        </w:rPr>
        <w:t>7.6履约担保</w:t>
      </w:r>
      <w:bookmarkEnd w:id="356"/>
      <w:bookmarkEnd w:id="357"/>
      <w:bookmarkEnd w:id="358"/>
      <w:bookmarkEnd w:id="359"/>
      <w:bookmarkEnd w:id="360"/>
      <w:bookmarkEnd w:id="361"/>
      <w:bookmarkEnd w:id="362"/>
      <w:bookmarkEnd w:id="363"/>
      <w:bookmarkEnd w:id="364"/>
    </w:p>
    <w:p w14:paraId="2995B3F2">
      <w:pPr>
        <w:spacing w:line="360" w:lineRule="auto"/>
        <w:ind w:firstLine="480" w:firstLineChars="200"/>
        <w:rPr>
          <w:rFonts w:hint="eastAsia" w:ascii="仿宋" w:hAnsi="仿宋" w:eastAsia="仿宋" w:cs="仿宋"/>
          <w:color w:val="auto"/>
          <w:sz w:val="24"/>
          <w:szCs w:val="32"/>
          <w:highlight w:val="none"/>
        </w:rPr>
      </w:pPr>
      <w:bookmarkStart w:id="365" w:name="_Toc8423570"/>
      <w:bookmarkStart w:id="366" w:name="_Toc152042346"/>
      <w:bookmarkStart w:id="367" w:name="_Toc152045570"/>
      <w:bookmarkStart w:id="368" w:name="_Toc144974538"/>
      <w:bookmarkStart w:id="369" w:name="_Toc106712877"/>
      <w:bookmarkStart w:id="370" w:name="_Toc38209165"/>
      <w:r>
        <w:rPr>
          <w:rFonts w:hint="eastAsia" w:ascii="仿宋" w:hAnsi="仿宋" w:eastAsia="仿宋" w:cs="仿宋"/>
          <w:color w:val="auto"/>
          <w:sz w:val="24"/>
          <w:szCs w:val="32"/>
          <w:highlight w:val="none"/>
        </w:rPr>
        <w:t>详见投标人须知前附表。</w:t>
      </w:r>
    </w:p>
    <w:p w14:paraId="2C226D9C">
      <w:pPr>
        <w:pStyle w:val="52"/>
        <w:spacing w:line="360" w:lineRule="auto"/>
        <w:rPr>
          <w:rFonts w:hint="eastAsia" w:ascii="仿宋" w:hAnsi="仿宋" w:eastAsia="仿宋" w:cs="仿宋"/>
          <w:b/>
          <w:bCs/>
          <w:color w:val="auto"/>
          <w:highlight w:val="none"/>
        </w:rPr>
      </w:pPr>
      <w:bookmarkStart w:id="371" w:name="_Toc6080"/>
      <w:bookmarkStart w:id="372" w:name="_Toc3650"/>
      <w:bookmarkStart w:id="373" w:name="_Toc32110"/>
      <w:r>
        <w:rPr>
          <w:rFonts w:hint="eastAsia" w:ascii="仿宋" w:hAnsi="仿宋" w:eastAsia="仿宋" w:cs="仿宋"/>
          <w:b/>
          <w:bCs/>
          <w:color w:val="auto"/>
          <w:highlight w:val="none"/>
        </w:rPr>
        <w:t>7.7签订合同</w:t>
      </w:r>
      <w:bookmarkEnd w:id="365"/>
      <w:bookmarkEnd w:id="366"/>
      <w:bookmarkEnd w:id="367"/>
      <w:bookmarkEnd w:id="368"/>
      <w:bookmarkEnd w:id="369"/>
      <w:bookmarkEnd w:id="370"/>
      <w:bookmarkEnd w:id="371"/>
      <w:bookmarkEnd w:id="372"/>
      <w:bookmarkEnd w:id="373"/>
    </w:p>
    <w:p w14:paraId="4C514AFE">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7.7.1招标人和中标人应当自中标通知书发出之日起30天内，根据招标文件和中标人的投标文件订立</w:t>
      </w:r>
      <w:r>
        <w:rPr>
          <w:rFonts w:hint="eastAsia" w:ascii="仿宋" w:hAnsi="仿宋" w:eastAsia="仿宋" w:cs="仿宋"/>
          <w:color w:val="auto"/>
          <w:sz w:val="24"/>
          <w:szCs w:val="32"/>
          <w:highlight w:val="none"/>
          <w:lang w:val="en-US" w:eastAsia="zh-CN"/>
        </w:rPr>
        <w:t>电子</w:t>
      </w:r>
      <w:r>
        <w:rPr>
          <w:rFonts w:hint="eastAsia" w:ascii="仿宋" w:hAnsi="仿宋" w:eastAsia="仿宋" w:cs="仿宋"/>
          <w:color w:val="auto"/>
          <w:sz w:val="24"/>
          <w:szCs w:val="32"/>
          <w:highlight w:val="none"/>
        </w:rPr>
        <w:t>合同。中标人无正当理由拒签合同的，招标人取消其中标资格，给招标人造成的损失的，中标人还应当予以赔偿。</w:t>
      </w:r>
    </w:p>
    <w:p w14:paraId="044FE89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7.7.2发出中标通知书后，招标人无正当理由拒签合同的，给中标人造成损失的，还应当赔偿损失。</w:t>
      </w:r>
    </w:p>
    <w:p w14:paraId="2933E339">
      <w:pPr>
        <w:pStyle w:val="35"/>
        <w:spacing w:before="159" w:line="360" w:lineRule="auto"/>
        <w:rPr>
          <w:rFonts w:hint="eastAsia" w:ascii="仿宋" w:hAnsi="仿宋" w:cs="仿宋"/>
          <w:b/>
          <w:bCs/>
          <w:color w:val="auto"/>
          <w:highlight w:val="none"/>
        </w:rPr>
      </w:pPr>
      <w:bookmarkStart w:id="374" w:name="_Toc13603"/>
      <w:bookmarkStart w:id="375" w:name="_Toc152045571"/>
      <w:bookmarkStart w:id="376" w:name="_Toc17671"/>
      <w:bookmarkStart w:id="377" w:name="_Toc152042347"/>
      <w:bookmarkStart w:id="378" w:name="_Toc144974539"/>
      <w:r>
        <w:rPr>
          <w:rFonts w:hint="eastAsia" w:ascii="仿宋" w:hAnsi="仿宋" w:cs="仿宋"/>
          <w:b/>
          <w:bCs/>
          <w:color w:val="auto"/>
          <w:highlight w:val="none"/>
        </w:rPr>
        <w:t>8、重新招标和不再招标</w:t>
      </w:r>
      <w:bookmarkEnd w:id="374"/>
      <w:bookmarkEnd w:id="375"/>
      <w:bookmarkEnd w:id="376"/>
      <w:bookmarkEnd w:id="377"/>
      <w:bookmarkEnd w:id="378"/>
    </w:p>
    <w:p w14:paraId="131E94A3">
      <w:pPr>
        <w:pStyle w:val="52"/>
        <w:spacing w:line="360" w:lineRule="auto"/>
        <w:rPr>
          <w:rFonts w:hint="eastAsia" w:ascii="仿宋" w:hAnsi="仿宋" w:eastAsia="仿宋" w:cs="仿宋"/>
          <w:b/>
          <w:bCs/>
          <w:color w:val="auto"/>
          <w:highlight w:val="none"/>
        </w:rPr>
      </w:pPr>
      <w:bookmarkStart w:id="379" w:name="_Toc106712879"/>
      <w:bookmarkStart w:id="380" w:name="_Toc5043"/>
      <w:bookmarkStart w:id="381" w:name="_Toc31865"/>
      <w:bookmarkStart w:id="382" w:name="_Toc38209167"/>
      <w:bookmarkStart w:id="383" w:name="_Toc152045572"/>
      <w:bookmarkStart w:id="384" w:name="_Toc8423572"/>
      <w:bookmarkStart w:id="385" w:name="_Toc19941"/>
      <w:bookmarkStart w:id="386" w:name="_Toc152042348"/>
      <w:bookmarkStart w:id="387" w:name="_Toc144974540"/>
      <w:r>
        <w:rPr>
          <w:rFonts w:hint="eastAsia" w:ascii="仿宋" w:hAnsi="仿宋" w:eastAsia="仿宋" w:cs="仿宋"/>
          <w:b/>
          <w:bCs/>
          <w:color w:val="auto"/>
          <w:highlight w:val="none"/>
        </w:rPr>
        <w:t>8.1重新招标</w:t>
      </w:r>
      <w:bookmarkEnd w:id="379"/>
      <w:bookmarkEnd w:id="380"/>
      <w:bookmarkEnd w:id="381"/>
      <w:bookmarkEnd w:id="382"/>
      <w:bookmarkEnd w:id="383"/>
      <w:bookmarkEnd w:id="384"/>
      <w:bookmarkEnd w:id="385"/>
      <w:bookmarkEnd w:id="386"/>
      <w:bookmarkEnd w:id="387"/>
    </w:p>
    <w:p w14:paraId="0E820CCB">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有下列情形之一的，招标人将重新招标：</w:t>
      </w:r>
    </w:p>
    <w:p w14:paraId="718EC357">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（1）投标截止时间止，投标人少于3个的；</w:t>
      </w:r>
    </w:p>
    <w:p w14:paraId="6E091759">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（2）经评标委员会评审后否决所有投标的。</w:t>
      </w:r>
    </w:p>
    <w:p w14:paraId="2F5ACBD6">
      <w:pPr>
        <w:pStyle w:val="52"/>
        <w:spacing w:line="360" w:lineRule="auto"/>
        <w:rPr>
          <w:rFonts w:hint="eastAsia" w:ascii="仿宋" w:hAnsi="仿宋" w:eastAsia="仿宋" w:cs="仿宋"/>
          <w:b/>
          <w:bCs/>
          <w:color w:val="auto"/>
          <w:highlight w:val="none"/>
        </w:rPr>
      </w:pPr>
      <w:bookmarkStart w:id="388" w:name="_Toc144974541"/>
      <w:bookmarkStart w:id="389" w:name="_Toc152045573"/>
      <w:bookmarkStart w:id="390" w:name="_Toc3484"/>
      <w:bookmarkStart w:id="391" w:name="_Toc106712880"/>
      <w:bookmarkStart w:id="392" w:name="_Toc38209168"/>
      <w:bookmarkStart w:id="393" w:name="_Toc12411"/>
      <w:bookmarkStart w:id="394" w:name="_Toc11289"/>
      <w:bookmarkStart w:id="395" w:name="_Toc8423573"/>
      <w:bookmarkStart w:id="396" w:name="_Toc152042349"/>
      <w:r>
        <w:rPr>
          <w:rFonts w:hint="eastAsia" w:ascii="仿宋" w:hAnsi="仿宋" w:eastAsia="仿宋" w:cs="仿宋"/>
          <w:b/>
          <w:bCs/>
          <w:color w:val="auto"/>
          <w:highlight w:val="none"/>
        </w:rPr>
        <w:t>8.2不再招标</w:t>
      </w:r>
      <w:bookmarkEnd w:id="388"/>
      <w:bookmarkEnd w:id="389"/>
      <w:bookmarkEnd w:id="390"/>
      <w:bookmarkEnd w:id="391"/>
      <w:bookmarkEnd w:id="392"/>
      <w:bookmarkEnd w:id="393"/>
      <w:bookmarkEnd w:id="394"/>
      <w:bookmarkEnd w:id="395"/>
      <w:bookmarkEnd w:id="396"/>
    </w:p>
    <w:p w14:paraId="2A1A5C6D">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重新招标后投标人仍少于3个或者所有投标被否决的，属于必须审批或核准的工程建设项目，经原审批或核准部门批准后不再进行招标。</w:t>
      </w:r>
    </w:p>
    <w:p w14:paraId="008E8C95">
      <w:pPr>
        <w:pStyle w:val="35"/>
        <w:spacing w:before="159" w:line="360" w:lineRule="auto"/>
        <w:rPr>
          <w:rFonts w:hint="eastAsia" w:ascii="仿宋" w:hAnsi="仿宋" w:cs="仿宋"/>
          <w:b/>
          <w:bCs/>
          <w:color w:val="auto"/>
          <w:highlight w:val="none"/>
        </w:rPr>
      </w:pPr>
      <w:bookmarkStart w:id="397" w:name="_Toc144974542"/>
      <w:bookmarkStart w:id="398" w:name="_Toc152042350"/>
      <w:bookmarkStart w:id="399" w:name="_Toc152045574"/>
      <w:bookmarkStart w:id="400" w:name="_Toc23029"/>
      <w:bookmarkStart w:id="401" w:name="_Toc32210"/>
      <w:r>
        <w:rPr>
          <w:rFonts w:hint="eastAsia" w:ascii="仿宋" w:hAnsi="仿宋" w:cs="仿宋"/>
          <w:b/>
          <w:bCs/>
          <w:color w:val="auto"/>
          <w:highlight w:val="none"/>
        </w:rPr>
        <w:t>9、纪律和监督</w:t>
      </w:r>
      <w:bookmarkEnd w:id="397"/>
      <w:bookmarkEnd w:id="398"/>
      <w:bookmarkEnd w:id="399"/>
      <w:bookmarkEnd w:id="400"/>
      <w:bookmarkEnd w:id="401"/>
    </w:p>
    <w:p w14:paraId="434CE5ED">
      <w:pPr>
        <w:pStyle w:val="52"/>
        <w:spacing w:line="360" w:lineRule="auto"/>
        <w:rPr>
          <w:rFonts w:hint="eastAsia" w:ascii="仿宋" w:hAnsi="仿宋" w:eastAsia="仿宋" w:cs="仿宋"/>
          <w:b/>
          <w:bCs/>
          <w:color w:val="auto"/>
          <w:highlight w:val="none"/>
        </w:rPr>
      </w:pPr>
      <w:bookmarkStart w:id="402" w:name="_Toc8423575"/>
      <w:bookmarkStart w:id="403" w:name="_Toc205"/>
      <w:bookmarkStart w:id="404" w:name="_Toc144974543"/>
      <w:bookmarkStart w:id="405" w:name="_Toc32599"/>
      <w:bookmarkStart w:id="406" w:name="_Toc106712882"/>
      <w:bookmarkStart w:id="407" w:name="_Toc152045575"/>
      <w:bookmarkStart w:id="408" w:name="_Toc38209170"/>
      <w:bookmarkStart w:id="409" w:name="_Toc5665"/>
      <w:bookmarkStart w:id="410" w:name="_Toc152042351"/>
      <w:r>
        <w:rPr>
          <w:rFonts w:hint="eastAsia" w:ascii="仿宋" w:hAnsi="仿宋" w:eastAsia="仿宋" w:cs="仿宋"/>
          <w:b/>
          <w:bCs/>
          <w:color w:val="auto"/>
          <w:highlight w:val="none"/>
        </w:rPr>
        <w:t>9.1对招标人的纪律要求</w:t>
      </w:r>
      <w:bookmarkEnd w:id="402"/>
      <w:bookmarkEnd w:id="403"/>
      <w:bookmarkEnd w:id="404"/>
      <w:bookmarkEnd w:id="405"/>
      <w:bookmarkEnd w:id="406"/>
      <w:bookmarkEnd w:id="407"/>
      <w:bookmarkEnd w:id="408"/>
      <w:bookmarkEnd w:id="409"/>
      <w:bookmarkEnd w:id="410"/>
    </w:p>
    <w:p w14:paraId="77D723C6">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32"/>
          <w:highlight w:val="none"/>
        </w:rPr>
        <w:t>招标人不得泄漏招标投标活动中应当保密的情况和资料，不得与投标人串通损害国家利益、社会公共利益或者他人合法权益。</w:t>
      </w:r>
    </w:p>
    <w:p w14:paraId="3AC78163">
      <w:pPr>
        <w:pStyle w:val="52"/>
        <w:spacing w:line="360" w:lineRule="auto"/>
        <w:rPr>
          <w:rFonts w:hint="eastAsia" w:ascii="仿宋" w:hAnsi="仿宋" w:eastAsia="仿宋" w:cs="仿宋"/>
          <w:b/>
          <w:bCs/>
          <w:color w:val="auto"/>
          <w:highlight w:val="none"/>
        </w:rPr>
      </w:pPr>
      <w:bookmarkStart w:id="411" w:name="_Toc8423576"/>
      <w:bookmarkStart w:id="412" w:name="_Toc108"/>
      <w:bookmarkStart w:id="413" w:name="_Toc152042352"/>
      <w:bookmarkStart w:id="414" w:name="_Toc2800"/>
      <w:bookmarkStart w:id="415" w:name="_Toc144974544"/>
      <w:bookmarkStart w:id="416" w:name="_Toc38209171"/>
      <w:bookmarkStart w:id="417" w:name="_Toc152045576"/>
      <w:bookmarkStart w:id="418" w:name="_Toc106712883"/>
      <w:bookmarkStart w:id="419" w:name="_Toc29412"/>
      <w:r>
        <w:rPr>
          <w:rFonts w:hint="eastAsia" w:ascii="仿宋" w:hAnsi="仿宋" w:eastAsia="仿宋" w:cs="仿宋"/>
          <w:b/>
          <w:bCs/>
          <w:color w:val="auto"/>
          <w:highlight w:val="none"/>
        </w:rPr>
        <w:t>9.2对投标人的纪律要求</w:t>
      </w:r>
      <w:bookmarkEnd w:id="411"/>
      <w:bookmarkEnd w:id="412"/>
      <w:bookmarkEnd w:id="413"/>
      <w:bookmarkEnd w:id="414"/>
      <w:bookmarkEnd w:id="415"/>
      <w:bookmarkEnd w:id="416"/>
      <w:bookmarkEnd w:id="417"/>
      <w:bookmarkEnd w:id="418"/>
      <w:bookmarkEnd w:id="419"/>
    </w:p>
    <w:p w14:paraId="2A3872A0">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3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6848C63">
      <w:pPr>
        <w:pStyle w:val="52"/>
        <w:spacing w:line="360" w:lineRule="auto"/>
        <w:rPr>
          <w:rFonts w:hint="eastAsia" w:ascii="仿宋" w:hAnsi="仿宋" w:eastAsia="仿宋" w:cs="仿宋"/>
          <w:b/>
          <w:bCs/>
          <w:color w:val="auto"/>
          <w:highlight w:val="none"/>
        </w:rPr>
      </w:pPr>
      <w:bookmarkStart w:id="420" w:name="_Toc30480"/>
      <w:bookmarkStart w:id="421" w:name="_Toc152042353"/>
      <w:bookmarkStart w:id="422" w:name="_Toc106712884"/>
      <w:bookmarkStart w:id="423" w:name="_Toc8423577"/>
      <w:bookmarkStart w:id="424" w:name="_Toc2550"/>
      <w:bookmarkStart w:id="425" w:name="_Toc152045577"/>
      <w:bookmarkStart w:id="426" w:name="_Toc144974545"/>
      <w:bookmarkStart w:id="427" w:name="_Toc28463"/>
      <w:bookmarkStart w:id="428" w:name="_Toc38209172"/>
      <w:r>
        <w:rPr>
          <w:rFonts w:hint="eastAsia" w:ascii="仿宋" w:hAnsi="仿宋" w:eastAsia="仿宋" w:cs="仿宋"/>
          <w:b/>
          <w:bCs/>
          <w:color w:val="auto"/>
          <w:highlight w:val="none"/>
        </w:rPr>
        <w:t>9.3对评标委员会成员的纪律要求</w:t>
      </w:r>
      <w:bookmarkEnd w:id="420"/>
      <w:bookmarkEnd w:id="421"/>
      <w:bookmarkEnd w:id="422"/>
      <w:bookmarkEnd w:id="423"/>
      <w:bookmarkEnd w:id="424"/>
      <w:bookmarkEnd w:id="425"/>
      <w:bookmarkEnd w:id="426"/>
      <w:bookmarkEnd w:id="427"/>
      <w:bookmarkEnd w:id="428"/>
    </w:p>
    <w:p w14:paraId="4CFBA963">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30F566FE">
      <w:pPr>
        <w:pStyle w:val="52"/>
        <w:spacing w:line="360" w:lineRule="auto"/>
        <w:rPr>
          <w:rFonts w:hint="eastAsia" w:ascii="仿宋" w:hAnsi="仿宋" w:eastAsia="仿宋" w:cs="仿宋"/>
          <w:b/>
          <w:bCs/>
          <w:color w:val="auto"/>
          <w:highlight w:val="none"/>
        </w:rPr>
      </w:pPr>
      <w:bookmarkStart w:id="429" w:name="_Toc106712885"/>
      <w:bookmarkStart w:id="430" w:name="_Toc31171"/>
      <w:bookmarkStart w:id="431" w:name="_Toc8423578"/>
      <w:bookmarkStart w:id="432" w:name="_Toc152045578"/>
      <w:bookmarkStart w:id="433" w:name="_Toc22812"/>
      <w:bookmarkStart w:id="434" w:name="_Toc38209173"/>
      <w:bookmarkStart w:id="435" w:name="_Toc152042354"/>
      <w:bookmarkStart w:id="436" w:name="_Toc1035"/>
      <w:bookmarkStart w:id="437" w:name="_Toc144974546"/>
      <w:r>
        <w:rPr>
          <w:rFonts w:hint="eastAsia" w:ascii="仿宋" w:hAnsi="仿宋" w:eastAsia="仿宋" w:cs="仿宋"/>
          <w:b/>
          <w:bCs/>
          <w:color w:val="auto"/>
          <w:highlight w:val="none"/>
        </w:rPr>
        <w:t>9.4对与评标活动有关的工作人员的纪律要求</w:t>
      </w:r>
      <w:bookmarkEnd w:id="429"/>
      <w:bookmarkEnd w:id="430"/>
      <w:bookmarkEnd w:id="431"/>
      <w:bookmarkEnd w:id="432"/>
      <w:bookmarkEnd w:id="433"/>
      <w:bookmarkEnd w:id="434"/>
      <w:bookmarkEnd w:id="435"/>
      <w:bookmarkEnd w:id="436"/>
    </w:p>
    <w:p w14:paraId="45A646E5">
      <w:pPr>
        <w:spacing w:line="360" w:lineRule="auto"/>
        <w:ind w:firstLine="480" w:firstLineChars="200"/>
        <w:rPr>
          <w:rFonts w:hint="eastAsia" w:ascii="仿宋" w:hAnsi="仿宋" w:eastAsia="仿宋" w:cs="仿宋"/>
          <w:color w:val="auto"/>
          <w:sz w:val="24"/>
          <w:szCs w:val="32"/>
          <w:highlight w:val="none"/>
        </w:rPr>
      </w:pPr>
      <w:bookmarkStart w:id="438" w:name="_Toc152042355"/>
      <w:r>
        <w:rPr>
          <w:rFonts w:hint="eastAsia" w:ascii="仿宋" w:hAnsi="仿宋" w:eastAsia="仿宋" w:cs="仿宋"/>
          <w:color w:val="auto"/>
          <w:sz w:val="24"/>
          <w:szCs w:val="32"/>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38"/>
    </w:p>
    <w:p w14:paraId="0E599CA9">
      <w:pPr>
        <w:pStyle w:val="52"/>
        <w:spacing w:line="360" w:lineRule="auto"/>
        <w:rPr>
          <w:rFonts w:hint="eastAsia" w:ascii="仿宋" w:hAnsi="仿宋" w:eastAsia="仿宋" w:cs="仿宋"/>
          <w:b/>
          <w:bCs/>
          <w:color w:val="auto"/>
          <w:highlight w:val="none"/>
        </w:rPr>
      </w:pPr>
      <w:bookmarkStart w:id="439" w:name="_Toc38209174"/>
      <w:bookmarkStart w:id="440" w:name="_Toc8423579"/>
      <w:bookmarkStart w:id="441" w:name="_Toc152042356"/>
      <w:bookmarkStart w:id="442" w:name="_Toc10340"/>
      <w:bookmarkStart w:id="443" w:name="_Toc152045579"/>
      <w:bookmarkStart w:id="444" w:name="_Toc6473"/>
      <w:bookmarkStart w:id="445" w:name="_Toc15485"/>
      <w:bookmarkStart w:id="446" w:name="_Toc106712886"/>
      <w:r>
        <w:rPr>
          <w:rFonts w:hint="eastAsia" w:ascii="仿宋" w:hAnsi="仿宋" w:eastAsia="仿宋" w:cs="仿宋"/>
          <w:b/>
          <w:bCs/>
          <w:color w:val="auto"/>
          <w:highlight w:val="none"/>
        </w:rPr>
        <w:t>9.5投诉</w:t>
      </w:r>
      <w:bookmarkEnd w:id="437"/>
      <w:bookmarkEnd w:id="439"/>
      <w:bookmarkEnd w:id="440"/>
      <w:bookmarkEnd w:id="441"/>
      <w:bookmarkEnd w:id="442"/>
      <w:bookmarkEnd w:id="443"/>
      <w:bookmarkEnd w:id="444"/>
      <w:bookmarkEnd w:id="445"/>
      <w:bookmarkEnd w:id="446"/>
    </w:p>
    <w:p w14:paraId="0720736C">
      <w:pPr>
        <w:spacing w:line="360" w:lineRule="auto"/>
        <w:ind w:firstLine="480" w:firstLineChars="200"/>
        <w:rPr>
          <w:rFonts w:hint="eastAsia" w:ascii="仿宋" w:hAnsi="仿宋" w:eastAsia="仿宋" w:cs="仿宋"/>
          <w:color w:val="auto"/>
          <w:sz w:val="24"/>
          <w:szCs w:val="32"/>
          <w:highlight w:val="none"/>
        </w:rPr>
      </w:pPr>
      <w:bookmarkStart w:id="447" w:name="_Toc144974547"/>
      <w:bookmarkStart w:id="448" w:name="_Toc152045580"/>
      <w:bookmarkStart w:id="449" w:name="_Toc152042357"/>
      <w:r>
        <w:rPr>
          <w:rFonts w:hint="eastAsia" w:ascii="仿宋" w:hAnsi="仿宋" w:eastAsia="仿宋" w:cs="仿宋"/>
          <w:color w:val="auto"/>
          <w:sz w:val="24"/>
          <w:szCs w:val="32"/>
          <w:highlight w:val="none"/>
        </w:rPr>
        <w:t>9.5.1投标人或者其他利害关系人认为招标投标活动不符合法律、行政法规规定的，可以自知道或者应当知道之日起 10 日内向有关行政监督部门投诉。投诉应当有明确的请求和必要的证明材料。</w:t>
      </w:r>
    </w:p>
    <w:p w14:paraId="6EA948E1">
      <w:pPr>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9.5.2投标人或者其他利害关系人对招标文件、开标和评标结果提出投诉的，应当按照投标人须知第2.4款、第5.3款和第7.2款的规定先向招标人提出异议。异议答复期间不计算在第9.5.1项规定的期限内。</w:t>
      </w:r>
    </w:p>
    <w:p w14:paraId="5DA4C967">
      <w:pPr>
        <w:pStyle w:val="35"/>
        <w:spacing w:before="159" w:line="360" w:lineRule="auto"/>
        <w:rPr>
          <w:rFonts w:hint="eastAsia" w:ascii="仿宋" w:hAnsi="仿宋" w:cs="仿宋"/>
          <w:b/>
          <w:bCs/>
          <w:color w:val="auto"/>
          <w:highlight w:val="none"/>
        </w:rPr>
      </w:pPr>
      <w:bookmarkStart w:id="450" w:name="_Toc20436"/>
      <w:bookmarkStart w:id="451" w:name="_Toc7880"/>
      <w:r>
        <w:rPr>
          <w:rFonts w:hint="eastAsia" w:ascii="仿宋" w:hAnsi="仿宋" w:cs="仿宋"/>
          <w:b/>
          <w:bCs/>
          <w:color w:val="auto"/>
          <w:highlight w:val="none"/>
        </w:rPr>
        <w:t>10、需要补充的其他内容</w:t>
      </w:r>
      <w:bookmarkEnd w:id="447"/>
      <w:bookmarkEnd w:id="448"/>
      <w:bookmarkEnd w:id="449"/>
      <w:bookmarkEnd w:id="450"/>
      <w:bookmarkEnd w:id="451"/>
    </w:p>
    <w:p w14:paraId="0EDDFB68">
      <w:pPr>
        <w:spacing w:line="360" w:lineRule="auto"/>
        <w:ind w:firstLine="480" w:firstLineChars="200"/>
        <w:rPr>
          <w:rFonts w:hint="eastAsia" w:ascii="仿宋" w:hAnsi="仿宋" w:eastAsia="仿宋" w:cs="仿宋"/>
          <w:b/>
          <w:color w:val="auto"/>
          <w:highlight w:val="none"/>
        </w:rPr>
      </w:pPr>
      <w:r>
        <w:rPr>
          <w:rFonts w:hint="eastAsia" w:ascii="仿宋" w:hAnsi="仿宋" w:eastAsia="仿宋" w:cs="仿宋"/>
          <w:color w:val="auto"/>
          <w:sz w:val="24"/>
          <w:szCs w:val="32"/>
          <w:highlight w:val="none"/>
        </w:rPr>
        <w:t>需要补充的其他内容：见投标人须知前附表。</w:t>
      </w:r>
      <w:bookmarkStart w:id="452" w:name="_Toc152042359"/>
      <w:bookmarkStart w:id="453" w:name="_Toc8423582"/>
      <w:bookmarkStart w:id="454" w:name="_Toc144974549"/>
      <w:bookmarkStart w:id="455" w:name="_Toc152045582"/>
      <w:r>
        <w:rPr>
          <w:rFonts w:hint="eastAsia" w:ascii="仿宋" w:hAnsi="仿宋" w:eastAsia="仿宋" w:cs="仿宋"/>
          <w:color w:val="auto"/>
          <w:highlight w:val="none"/>
        </w:rPr>
        <w:br w:type="page"/>
      </w:r>
      <w:bookmarkStart w:id="456" w:name="_Toc38209175"/>
      <w:r>
        <w:rPr>
          <w:rFonts w:hint="eastAsia" w:ascii="仿宋" w:hAnsi="仿宋" w:eastAsia="仿宋" w:cs="仿宋"/>
          <w:color w:val="auto"/>
          <w:sz w:val="24"/>
          <w:szCs w:val="20"/>
          <w:highlight w:val="none"/>
        </w:rPr>
        <w:t>附表一：问题澄清通知</w:t>
      </w:r>
      <w:bookmarkEnd w:id="452"/>
      <w:bookmarkEnd w:id="453"/>
      <w:bookmarkEnd w:id="454"/>
      <w:bookmarkEnd w:id="455"/>
      <w:bookmarkEnd w:id="456"/>
    </w:p>
    <w:p w14:paraId="683C786D">
      <w:pPr>
        <w:spacing w:line="440" w:lineRule="exact"/>
        <w:jc w:val="center"/>
        <w:rPr>
          <w:rFonts w:hint="eastAsia" w:ascii="仿宋" w:hAnsi="仿宋" w:eastAsia="仿宋" w:cs="仿宋"/>
          <w:color w:val="auto"/>
          <w:szCs w:val="21"/>
          <w:highlight w:val="none"/>
        </w:rPr>
      </w:pPr>
    </w:p>
    <w:p w14:paraId="792463D5">
      <w:pPr>
        <w:spacing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问题澄清通知</w:t>
      </w:r>
    </w:p>
    <w:p w14:paraId="7640E27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编号：</w:t>
      </w:r>
    </w:p>
    <w:p w14:paraId="669E02E2">
      <w:pPr>
        <w:spacing w:line="440" w:lineRule="exact"/>
        <w:rPr>
          <w:rFonts w:hint="eastAsia" w:ascii="仿宋" w:hAnsi="仿宋" w:eastAsia="仿宋" w:cs="仿宋"/>
          <w:color w:val="auto"/>
          <w:sz w:val="24"/>
          <w:highlight w:val="none"/>
        </w:rPr>
      </w:pPr>
    </w:p>
    <w:p w14:paraId="4605314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（投标人名称）：</w:t>
      </w:r>
    </w:p>
    <w:p w14:paraId="5B55CD38">
      <w:pPr>
        <w:spacing w:line="440" w:lineRule="exact"/>
        <w:rPr>
          <w:rFonts w:hint="eastAsia" w:ascii="仿宋" w:hAnsi="仿宋" w:eastAsia="仿宋" w:cs="仿宋"/>
          <w:color w:val="auto"/>
          <w:sz w:val="24"/>
          <w:highlight w:val="none"/>
        </w:rPr>
      </w:pPr>
    </w:p>
    <w:p w14:paraId="5C29AF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（项目名称）施工招标的评标委员会，对你方的投标文件进行了仔细的审查，现需你方对下列问题以书面形式予以澄清：</w:t>
      </w:r>
    </w:p>
    <w:p w14:paraId="35EC909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p w14:paraId="02321C4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p>
    <w:p w14:paraId="09F97C1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p>
    <w:p w14:paraId="3CECDE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   </w:t>
      </w:r>
    </w:p>
    <w:p w14:paraId="3FF6467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p w14:paraId="2272E77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请将上述问题的澄清于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时前递交至</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（详细地址）。</w:t>
      </w:r>
    </w:p>
    <w:p w14:paraId="1E787640">
      <w:pPr>
        <w:spacing w:line="440" w:lineRule="exact"/>
        <w:rPr>
          <w:rFonts w:hint="eastAsia" w:ascii="仿宋" w:hAnsi="仿宋" w:eastAsia="仿宋" w:cs="仿宋"/>
          <w:color w:val="auto"/>
          <w:sz w:val="24"/>
          <w:highlight w:val="none"/>
        </w:rPr>
      </w:pPr>
    </w:p>
    <w:p w14:paraId="74DE5494">
      <w:pPr>
        <w:spacing w:line="440" w:lineRule="exact"/>
        <w:rPr>
          <w:rFonts w:hint="eastAsia" w:ascii="仿宋" w:hAnsi="仿宋" w:eastAsia="仿宋" w:cs="仿宋"/>
          <w:color w:val="auto"/>
          <w:sz w:val="24"/>
          <w:highlight w:val="none"/>
        </w:rPr>
      </w:pPr>
    </w:p>
    <w:p w14:paraId="773C773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评标工作组负责人：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w:t>
      </w:r>
    </w:p>
    <w:p w14:paraId="270C95A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261C58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月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FB1EF8">
      <w:pPr>
        <w:pStyle w:val="52"/>
        <w:spacing w:line="360" w:lineRule="auto"/>
        <w:rPr>
          <w:rFonts w:hint="eastAsia" w:ascii="仿宋" w:hAnsi="仿宋" w:eastAsia="仿宋" w:cs="仿宋"/>
          <w:color w:val="auto"/>
          <w:highlight w:val="none"/>
        </w:rPr>
      </w:pPr>
      <w:bookmarkStart w:id="457" w:name="_Toc38209176"/>
      <w:bookmarkStart w:id="458" w:name="_Toc152042360"/>
      <w:bookmarkStart w:id="459" w:name="_Toc8423583"/>
      <w:bookmarkStart w:id="460" w:name="_Toc144974550"/>
      <w:bookmarkStart w:id="461" w:name="_Toc106712887"/>
      <w:bookmarkStart w:id="462" w:name="_Toc152045583"/>
      <w:r>
        <w:rPr>
          <w:rFonts w:hint="eastAsia" w:ascii="仿宋" w:hAnsi="仿宋" w:eastAsia="仿宋" w:cs="仿宋"/>
          <w:color w:val="auto"/>
          <w:highlight w:val="none"/>
        </w:rPr>
        <w:br w:type="page"/>
      </w:r>
      <w:bookmarkStart w:id="463" w:name="_Toc1837"/>
      <w:bookmarkStart w:id="464" w:name="_Toc21379"/>
      <w:bookmarkStart w:id="465" w:name="_Toc17136"/>
      <w:r>
        <w:rPr>
          <w:rFonts w:hint="eastAsia" w:ascii="仿宋" w:hAnsi="仿宋" w:eastAsia="仿宋" w:cs="仿宋"/>
          <w:color w:val="auto"/>
          <w:highlight w:val="none"/>
        </w:rPr>
        <w:t>附表二：问题的澄清</w:t>
      </w:r>
      <w:bookmarkEnd w:id="457"/>
      <w:bookmarkEnd w:id="458"/>
      <w:bookmarkEnd w:id="459"/>
      <w:bookmarkEnd w:id="460"/>
      <w:bookmarkEnd w:id="461"/>
      <w:bookmarkEnd w:id="462"/>
      <w:bookmarkEnd w:id="463"/>
      <w:bookmarkEnd w:id="464"/>
      <w:bookmarkEnd w:id="465"/>
    </w:p>
    <w:p w14:paraId="6EF58B97">
      <w:pPr>
        <w:spacing w:line="400" w:lineRule="exact"/>
        <w:jc w:val="center"/>
        <w:rPr>
          <w:rFonts w:hint="eastAsia" w:ascii="仿宋" w:hAnsi="仿宋" w:eastAsia="仿宋" w:cs="仿宋"/>
          <w:color w:val="auto"/>
          <w:sz w:val="28"/>
          <w:szCs w:val="28"/>
          <w:highlight w:val="none"/>
        </w:rPr>
      </w:pPr>
    </w:p>
    <w:p w14:paraId="71040AF9">
      <w:pPr>
        <w:spacing w:line="4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问题的澄清</w:t>
      </w:r>
    </w:p>
    <w:p w14:paraId="53E6B42A">
      <w:pPr>
        <w:spacing w:line="400" w:lineRule="exact"/>
        <w:ind w:firstLine="3960" w:firstLineChars="165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 xml:space="preserve">编号： </w:t>
      </w:r>
    </w:p>
    <w:p w14:paraId="41A5C151">
      <w:pPr>
        <w:spacing w:line="400" w:lineRule="exact"/>
        <w:rPr>
          <w:rFonts w:hint="eastAsia" w:ascii="仿宋" w:hAnsi="仿宋" w:eastAsia="仿宋" w:cs="仿宋"/>
          <w:color w:val="auto"/>
          <w:sz w:val="24"/>
          <w:highlight w:val="none"/>
        </w:rPr>
      </w:pPr>
    </w:p>
    <w:p w14:paraId="54D311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项目名称）招标评标委员会：</w:t>
      </w:r>
    </w:p>
    <w:p w14:paraId="284A9A9A">
      <w:pPr>
        <w:spacing w:line="440" w:lineRule="exact"/>
        <w:rPr>
          <w:rFonts w:hint="eastAsia" w:ascii="仿宋" w:hAnsi="仿宋" w:eastAsia="仿宋" w:cs="仿宋"/>
          <w:color w:val="auto"/>
          <w:sz w:val="24"/>
          <w:highlight w:val="none"/>
        </w:rPr>
      </w:pPr>
    </w:p>
    <w:p w14:paraId="61E36C0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问题澄清通知（编号：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）已收悉，现澄清如下：</w:t>
      </w:r>
    </w:p>
    <w:p w14:paraId="307DE8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1、</w:t>
      </w:r>
    </w:p>
    <w:p w14:paraId="754D5FC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2、</w:t>
      </w:r>
    </w:p>
    <w:p w14:paraId="6F3ED5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1C537E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p w14:paraId="456F7C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8F68B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FE8A046">
      <w:pPr>
        <w:spacing w:line="440" w:lineRule="exact"/>
        <w:rPr>
          <w:rFonts w:hint="eastAsia" w:ascii="仿宋" w:hAnsi="仿宋" w:eastAsia="仿宋" w:cs="仿宋"/>
          <w:color w:val="auto"/>
          <w:sz w:val="24"/>
          <w:highlight w:val="none"/>
        </w:rPr>
      </w:pPr>
    </w:p>
    <w:p w14:paraId="2ED26FAA">
      <w:pPr>
        <w:spacing w:line="440" w:lineRule="exact"/>
        <w:rPr>
          <w:rFonts w:hint="eastAsia" w:ascii="仿宋" w:hAnsi="仿宋" w:eastAsia="仿宋" w:cs="仿宋"/>
          <w:color w:val="auto"/>
          <w:sz w:val="24"/>
          <w:highlight w:val="none"/>
        </w:rPr>
      </w:pPr>
    </w:p>
    <w:p w14:paraId="0937925B">
      <w:pPr>
        <w:spacing w:line="440" w:lineRule="exact"/>
        <w:rPr>
          <w:rFonts w:hint="eastAsia" w:ascii="仿宋" w:hAnsi="仿宋" w:eastAsia="仿宋" w:cs="仿宋"/>
          <w:color w:val="auto"/>
          <w:sz w:val="24"/>
          <w:highlight w:val="none"/>
        </w:rPr>
      </w:pPr>
    </w:p>
    <w:p w14:paraId="6BEB6265">
      <w:pPr>
        <w:spacing w:line="440" w:lineRule="exact"/>
        <w:rPr>
          <w:rFonts w:hint="eastAsia" w:ascii="仿宋" w:hAnsi="仿宋" w:eastAsia="仿宋" w:cs="仿宋"/>
          <w:color w:val="auto"/>
          <w:sz w:val="24"/>
          <w:highlight w:val="none"/>
        </w:rPr>
      </w:pPr>
    </w:p>
    <w:p w14:paraId="63816F6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投标人：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w:t>
      </w:r>
    </w:p>
    <w:p w14:paraId="21BF04B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p w14:paraId="04EEB30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法定代表人或其委托代理人：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w:t>
      </w:r>
    </w:p>
    <w:p w14:paraId="1B524E6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p w14:paraId="351C1E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FF706C">
      <w:pPr>
        <w:pStyle w:val="52"/>
        <w:outlineLvl w:val="9"/>
        <w:rPr>
          <w:rFonts w:ascii="仿宋" w:hAnsi="仿宋" w:eastAsia="仿宋" w:cs="仿宋"/>
          <w:b w:val="0"/>
          <w:bCs w:val="0"/>
          <w:color w:val="auto"/>
          <w:szCs w:val="20"/>
          <w:highlight w:val="none"/>
        </w:rPr>
      </w:pPr>
      <w:bookmarkStart w:id="466" w:name="_Toc152045598"/>
      <w:bookmarkStart w:id="467" w:name="_Toc152042375"/>
      <w:bookmarkStart w:id="468" w:name="_Toc144974565"/>
      <w:r>
        <w:rPr>
          <w:rFonts w:cs="Times New Roman"/>
          <w:color w:val="auto"/>
          <w:highlight w:val="none"/>
        </w:rPr>
        <w:br w:type="page"/>
      </w:r>
      <w:bookmarkStart w:id="469" w:name="_Toc18693"/>
      <w:r>
        <w:rPr>
          <w:rFonts w:hint="eastAsia" w:ascii="仿宋" w:hAnsi="仿宋" w:eastAsia="仿宋" w:cs="仿宋"/>
          <w:b w:val="0"/>
          <w:bCs w:val="0"/>
          <w:color w:val="auto"/>
          <w:szCs w:val="20"/>
          <w:highlight w:val="none"/>
        </w:rPr>
        <w:t>附表三：异议函</w:t>
      </w:r>
      <w:bookmarkEnd w:id="469"/>
    </w:p>
    <w:p w14:paraId="1B0F71C0">
      <w:pPr>
        <w:spacing w:line="400" w:lineRule="exact"/>
        <w:rPr>
          <w:rFonts w:ascii="仿宋" w:hAnsi="仿宋" w:eastAsia="仿宋" w:cs="仿宋"/>
          <w:color w:val="auto"/>
          <w:szCs w:val="20"/>
          <w:highlight w:val="none"/>
        </w:rPr>
      </w:pPr>
    </w:p>
    <w:p w14:paraId="03D0010E">
      <w:pPr>
        <w:jc w:val="center"/>
        <w:rPr>
          <w:rFonts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异议函</w:t>
      </w:r>
    </w:p>
    <w:p w14:paraId="47A49348">
      <w:pPr>
        <w:spacing w:line="360" w:lineRule="auto"/>
        <w:ind w:left="0" w:leftChars="0" w:firstLine="420" w:firstLineChars="200"/>
        <w:jc w:val="left"/>
        <w:rPr>
          <w:rFonts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一、异议提出人基本信息</w:t>
      </w:r>
    </w:p>
    <w:p w14:paraId="67E9C63F">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异议提出人：</w:t>
      </w:r>
      <w:r>
        <w:rPr>
          <w:rFonts w:hint="eastAsia" w:ascii="仿宋" w:hAnsi="仿宋" w:eastAsia="仿宋" w:cs="仿宋"/>
          <w:b w:val="0"/>
          <w:bCs/>
          <w:color w:val="auto"/>
          <w:sz w:val="21"/>
          <w:szCs w:val="21"/>
          <w:highlight w:val="none"/>
          <w:u w:val="single"/>
        </w:rPr>
        <w:t xml:space="preserve">                                                       </w:t>
      </w:r>
    </w:p>
    <w:p w14:paraId="023AADC2">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地址：</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邮编：</w:t>
      </w:r>
      <w:r>
        <w:rPr>
          <w:rFonts w:hint="eastAsia" w:ascii="仿宋" w:hAnsi="仿宋" w:eastAsia="仿宋" w:cs="仿宋"/>
          <w:b w:val="0"/>
          <w:bCs/>
          <w:color w:val="auto"/>
          <w:sz w:val="21"/>
          <w:szCs w:val="21"/>
          <w:highlight w:val="none"/>
          <w:u w:val="single"/>
        </w:rPr>
        <w:t xml:space="preserve">                        </w:t>
      </w:r>
    </w:p>
    <w:p w14:paraId="0EDF7AA3">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联系人：</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联系电话：</w:t>
      </w:r>
      <w:r>
        <w:rPr>
          <w:rFonts w:hint="eastAsia" w:ascii="仿宋" w:hAnsi="仿宋" w:eastAsia="仿宋" w:cs="仿宋"/>
          <w:b w:val="0"/>
          <w:bCs/>
          <w:color w:val="auto"/>
          <w:sz w:val="21"/>
          <w:szCs w:val="21"/>
          <w:highlight w:val="none"/>
          <w:u w:val="single"/>
        </w:rPr>
        <w:t xml:space="preserve">                    </w:t>
      </w:r>
    </w:p>
    <w:p w14:paraId="4B153D56">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授权代理人：</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联系电话：</w:t>
      </w:r>
      <w:r>
        <w:rPr>
          <w:rFonts w:hint="eastAsia" w:ascii="仿宋" w:hAnsi="仿宋" w:eastAsia="仿宋" w:cs="仿宋"/>
          <w:b w:val="0"/>
          <w:bCs/>
          <w:color w:val="auto"/>
          <w:sz w:val="21"/>
          <w:szCs w:val="21"/>
          <w:highlight w:val="none"/>
          <w:u w:val="single"/>
        </w:rPr>
        <w:t xml:space="preserve">                    </w:t>
      </w:r>
    </w:p>
    <w:p w14:paraId="5AAF4601">
      <w:pPr>
        <w:spacing w:line="360" w:lineRule="auto"/>
        <w:ind w:left="0" w:leftChars="0" w:firstLine="420" w:firstLineChars="200"/>
        <w:jc w:val="left"/>
        <w:rPr>
          <w:rFonts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地址：</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邮编：</w:t>
      </w:r>
      <w:r>
        <w:rPr>
          <w:rFonts w:hint="eastAsia" w:ascii="仿宋" w:hAnsi="仿宋" w:eastAsia="仿宋" w:cs="仿宋"/>
          <w:b w:val="0"/>
          <w:bCs/>
          <w:color w:val="auto"/>
          <w:sz w:val="21"/>
          <w:szCs w:val="21"/>
          <w:highlight w:val="none"/>
          <w:u w:val="single"/>
        </w:rPr>
        <w:t xml:space="preserve">                        </w:t>
      </w:r>
    </w:p>
    <w:p w14:paraId="38CC649C">
      <w:pPr>
        <w:spacing w:line="360" w:lineRule="auto"/>
        <w:ind w:left="0" w:leftChars="0" w:firstLine="420" w:firstLineChars="200"/>
        <w:jc w:val="left"/>
        <w:rPr>
          <w:rFonts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二、异议项目基本情况</w:t>
      </w:r>
    </w:p>
    <w:p w14:paraId="24684BAD">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异议项目的名称：</w:t>
      </w:r>
      <w:r>
        <w:rPr>
          <w:rFonts w:hint="eastAsia" w:ascii="仿宋" w:hAnsi="仿宋" w:eastAsia="仿宋" w:cs="仿宋"/>
          <w:b w:val="0"/>
          <w:bCs/>
          <w:color w:val="auto"/>
          <w:sz w:val="21"/>
          <w:szCs w:val="21"/>
          <w:highlight w:val="none"/>
          <w:u w:val="single"/>
        </w:rPr>
        <w:t xml:space="preserve">                                                   </w:t>
      </w:r>
    </w:p>
    <w:p w14:paraId="68C6C9C1">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异议项目的编号：</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标段：</w:t>
      </w:r>
      <w:r>
        <w:rPr>
          <w:rFonts w:hint="eastAsia" w:ascii="仿宋" w:hAnsi="仿宋" w:eastAsia="仿宋" w:cs="仿宋"/>
          <w:b w:val="0"/>
          <w:bCs/>
          <w:color w:val="auto"/>
          <w:sz w:val="21"/>
          <w:szCs w:val="21"/>
          <w:highlight w:val="none"/>
          <w:u w:val="single"/>
        </w:rPr>
        <w:t xml:space="preserve">                        </w:t>
      </w:r>
    </w:p>
    <w:p w14:paraId="13FB0EF8">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招标人名称：</w:t>
      </w:r>
      <w:r>
        <w:rPr>
          <w:rFonts w:hint="eastAsia" w:ascii="仿宋" w:hAnsi="仿宋" w:eastAsia="仿宋" w:cs="仿宋"/>
          <w:b w:val="0"/>
          <w:bCs/>
          <w:color w:val="auto"/>
          <w:sz w:val="21"/>
          <w:szCs w:val="21"/>
          <w:highlight w:val="none"/>
          <w:u w:val="single"/>
        </w:rPr>
        <w:t xml:space="preserve">                                                       </w:t>
      </w:r>
    </w:p>
    <w:p w14:paraId="2A5F53CD">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招标文件获取日期：</w:t>
      </w:r>
      <w:r>
        <w:rPr>
          <w:rFonts w:hint="eastAsia" w:ascii="仿宋" w:hAnsi="仿宋" w:eastAsia="仿宋" w:cs="仿宋"/>
          <w:b w:val="0"/>
          <w:bCs/>
          <w:color w:val="auto"/>
          <w:sz w:val="21"/>
          <w:szCs w:val="21"/>
          <w:highlight w:val="none"/>
          <w:u w:val="single"/>
        </w:rPr>
        <w:t xml:space="preserve">                                                 </w:t>
      </w:r>
    </w:p>
    <w:p w14:paraId="188EA60D">
      <w:pPr>
        <w:spacing w:line="360" w:lineRule="auto"/>
        <w:ind w:left="0" w:leftChars="0" w:firstLine="420" w:firstLineChars="200"/>
        <w:jc w:val="left"/>
        <w:rPr>
          <w:rFonts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三、异议事项基本事实</w:t>
      </w:r>
    </w:p>
    <w:p w14:paraId="6B470E13">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异议事项1：</w:t>
      </w:r>
      <w:r>
        <w:rPr>
          <w:rFonts w:hint="eastAsia" w:ascii="仿宋" w:hAnsi="仿宋" w:eastAsia="仿宋" w:cs="仿宋"/>
          <w:b w:val="0"/>
          <w:bCs/>
          <w:color w:val="auto"/>
          <w:sz w:val="21"/>
          <w:szCs w:val="21"/>
          <w:highlight w:val="none"/>
          <w:u w:val="single"/>
        </w:rPr>
        <w:t xml:space="preserve">                                                      </w:t>
      </w:r>
    </w:p>
    <w:p w14:paraId="30024326">
      <w:pPr>
        <w:widowControl w:val="0"/>
        <w:autoSpaceDE w:val="0"/>
        <w:autoSpaceDN w:val="0"/>
        <w:adjustRightInd w:val="0"/>
        <w:ind w:left="0" w:leftChars="0" w:firstLine="420" w:firstLineChars="200"/>
        <w:rPr>
          <w:rFonts w:ascii="仿宋" w:hAnsi="仿宋" w:eastAsia="仿宋" w:cs="仿宋"/>
          <w:b w:val="0"/>
          <w:bCs/>
          <w:color w:val="auto"/>
          <w:kern w:val="2"/>
          <w:sz w:val="21"/>
          <w:szCs w:val="21"/>
          <w:highlight w:val="none"/>
          <w:u w:val="single"/>
          <w:lang w:val="en-US" w:eastAsia="zh-CN" w:bidi="ar-SA"/>
        </w:rPr>
      </w:pPr>
      <w:r>
        <w:rPr>
          <w:rFonts w:hint="eastAsia" w:ascii="宋体" w:hAnsi="Calibri" w:eastAsia="等线" w:cs="Times New Roman"/>
          <w:b w:val="0"/>
          <w:bCs/>
          <w:color w:val="auto"/>
          <w:sz w:val="21"/>
          <w:szCs w:val="21"/>
          <w:highlight w:val="none"/>
          <w:lang w:val="en-US" w:eastAsia="zh-CN" w:bidi="ar-SA"/>
        </w:rPr>
        <w:t xml:space="preserve">       </w:t>
      </w:r>
      <w:r>
        <w:rPr>
          <w:rFonts w:hint="eastAsia" w:ascii="仿宋" w:hAnsi="仿宋" w:eastAsia="仿宋" w:cs="仿宋"/>
          <w:b w:val="0"/>
          <w:bCs/>
          <w:color w:val="auto"/>
          <w:kern w:val="2"/>
          <w:sz w:val="21"/>
          <w:szCs w:val="21"/>
          <w:highlight w:val="none"/>
          <w:u w:val="single"/>
          <w:lang w:val="en-US" w:eastAsia="zh-CN" w:bidi="ar-SA"/>
        </w:rPr>
        <w:t xml:space="preserve">                                                           </w:t>
      </w:r>
    </w:p>
    <w:p w14:paraId="1BD6C57E">
      <w:pPr>
        <w:widowControl w:val="0"/>
        <w:adjustRightInd w:val="0"/>
        <w:spacing w:line="420" w:lineRule="atLeast"/>
        <w:ind w:left="0" w:leftChars="0" w:firstLine="420" w:firstLineChars="200"/>
        <w:jc w:val="left"/>
        <w:textAlignment w:val="baseline"/>
        <w:rPr>
          <w:rFonts w:ascii="Times New Roman" w:hAnsi="Times New Roman" w:eastAsia="宋体" w:cs="Times New Roman"/>
          <w:b w:val="0"/>
          <w:bCs/>
          <w:color w:val="auto"/>
          <w:kern w:val="0"/>
          <w:sz w:val="21"/>
          <w:szCs w:val="21"/>
          <w:highlight w:val="none"/>
          <w:u w:val="singl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 xml:space="preserve">       </w:t>
      </w:r>
      <w:r>
        <w:rPr>
          <w:rFonts w:hint="eastAsia" w:ascii="Times New Roman" w:hAnsi="Times New Roman" w:eastAsia="宋体" w:cs="Times New Roman"/>
          <w:b w:val="0"/>
          <w:bCs/>
          <w:color w:val="auto"/>
          <w:kern w:val="0"/>
          <w:sz w:val="21"/>
          <w:szCs w:val="21"/>
          <w:highlight w:val="none"/>
          <w:u w:val="single"/>
          <w:lang w:val="en-US" w:eastAsia="zh-CN" w:bidi="ar-SA"/>
        </w:rPr>
        <w:t xml:space="preserve">                                                           </w:t>
      </w:r>
    </w:p>
    <w:p w14:paraId="2C984B0C">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相关证明材料：</w:t>
      </w:r>
      <w:r>
        <w:rPr>
          <w:rFonts w:hint="eastAsia" w:ascii="仿宋" w:hAnsi="仿宋" w:eastAsia="仿宋" w:cs="仿宋"/>
          <w:b w:val="0"/>
          <w:bCs/>
          <w:color w:val="auto"/>
          <w:sz w:val="21"/>
          <w:szCs w:val="21"/>
          <w:highlight w:val="none"/>
          <w:u w:val="single"/>
        </w:rPr>
        <w:t xml:space="preserve">                                                    </w:t>
      </w:r>
    </w:p>
    <w:p w14:paraId="51F16196">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异议事项1：</w:t>
      </w:r>
      <w:r>
        <w:rPr>
          <w:rFonts w:hint="eastAsia" w:ascii="仿宋" w:hAnsi="仿宋" w:eastAsia="仿宋" w:cs="仿宋"/>
          <w:b w:val="0"/>
          <w:bCs/>
          <w:color w:val="auto"/>
          <w:sz w:val="21"/>
          <w:szCs w:val="21"/>
          <w:highlight w:val="none"/>
          <w:u w:val="single"/>
        </w:rPr>
        <w:t xml:space="preserve">                                                      </w:t>
      </w:r>
    </w:p>
    <w:p w14:paraId="06CFD117">
      <w:pPr>
        <w:widowControl w:val="0"/>
        <w:autoSpaceDE w:val="0"/>
        <w:autoSpaceDN w:val="0"/>
        <w:adjustRightInd w:val="0"/>
        <w:ind w:left="0" w:leftChars="0" w:firstLine="420" w:firstLineChars="200"/>
        <w:rPr>
          <w:rFonts w:ascii="宋体" w:hAnsi="Calibri" w:eastAsia="等线" w:cs="Times New Roman"/>
          <w:b w:val="0"/>
          <w:bCs/>
          <w:color w:val="auto"/>
          <w:sz w:val="21"/>
          <w:szCs w:val="21"/>
          <w:highlight w:val="none"/>
          <w:u w:val="single"/>
          <w:lang w:val="en-US" w:eastAsia="zh-CN" w:bidi="ar-SA"/>
        </w:rPr>
      </w:pPr>
      <w:r>
        <w:rPr>
          <w:rFonts w:hint="eastAsia" w:ascii="宋体" w:hAnsi="Calibri" w:eastAsia="等线" w:cs="Times New Roman"/>
          <w:b w:val="0"/>
          <w:bCs/>
          <w:color w:val="auto"/>
          <w:sz w:val="21"/>
          <w:szCs w:val="21"/>
          <w:highlight w:val="none"/>
          <w:lang w:val="en-US" w:eastAsia="zh-CN" w:bidi="ar-SA"/>
        </w:rPr>
        <w:t xml:space="preserve">       </w:t>
      </w:r>
      <w:r>
        <w:rPr>
          <w:rFonts w:hint="eastAsia" w:ascii="宋体" w:hAnsi="Calibri" w:eastAsia="等线" w:cs="Times New Roman"/>
          <w:b w:val="0"/>
          <w:bCs/>
          <w:color w:val="auto"/>
          <w:sz w:val="21"/>
          <w:szCs w:val="21"/>
          <w:highlight w:val="none"/>
          <w:u w:val="single"/>
          <w:lang w:val="en-US" w:eastAsia="zh-CN" w:bidi="ar-SA"/>
        </w:rPr>
        <w:t xml:space="preserve">                                                           </w:t>
      </w:r>
    </w:p>
    <w:p w14:paraId="3B6E6294">
      <w:pPr>
        <w:widowControl w:val="0"/>
        <w:adjustRightInd w:val="0"/>
        <w:spacing w:line="420" w:lineRule="atLeast"/>
        <w:ind w:left="0" w:leftChars="0" w:firstLine="420" w:firstLineChars="200"/>
        <w:jc w:val="left"/>
        <w:textAlignment w:val="baseline"/>
        <w:rPr>
          <w:rFonts w:ascii="仿宋" w:hAnsi="仿宋" w:eastAsia="仿宋" w:cs="仿宋"/>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 xml:space="preserve">       </w:t>
      </w:r>
      <w:r>
        <w:rPr>
          <w:rFonts w:hint="eastAsia" w:ascii="Times New Roman" w:hAnsi="Times New Roman" w:eastAsia="宋体" w:cs="Times New Roman"/>
          <w:b w:val="0"/>
          <w:bCs/>
          <w:color w:val="auto"/>
          <w:kern w:val="0"/>
          <w:sz w:val="21"/>
          <w:szCs w:val="21"/>
          <w:highlight w:val="none"/>
          <w:u w:val="single"/>
          <w:lang w:val="en-US" w:eastAsia="zh-CN" w:bidi="ar-SA"/>
        </w:rPr>
        <w:t xml:space="preserve">                                                           </w:t>
      </w:r>
    </w:p>
    <w:p w14:paraId="7C5C429D">
      <w:pPr>
        <w:spacing w:line="360" w:lineRule="auto"/>
        <w:ind w:left="0" w:leftChars="0" w:firstLine="420" w:firstLineChars="200"/>
        <w:jc w:val="left"/>
        <w:rPr>
          <w:rFonts w:ascii="仿宋" w:hAnsi="仿宋" w:eastAsia="仿宋" w:cs="仿宋"/>
          <w:b w:val="0"/>
          <w:bCs/>
          <w:color w:val="auto"/>
          <w:sz w:val="21"/>
          <w:szCs w:val="21"/>
          <w:highlight w:val="none"/>
          <w:u w:val="single"/>
        </w:rPr>
      </w:pPr>
      <w:r>
        <w:rPr>
          <w:rFonts w:hint="eastAsia" w:ascii="仿宋" w:hAnsi="仿宋" w:eastAsia="仿宋" w:cs="仿宋"/>
          <w:b w:val="0"/>
          <w:bCs/>
          <w:color w:val="auto"/>
          <w:sz w:val="21"/>
          <w:szCs w:val="21"/>
          <w:highlight w:val="none"/>
        </w:rPr>
        <w:t>相关证明材料：</w:t>
      </w:r>
      <w:r>
        <w:rPr>
          <w:rFonts w:hint="eastAsia" w:ascii="仿宋" w:hAnsi="仿宋" w:eastAsia="仿宋" w:cs="仿宋"/>
          <w:b w:val="0"/>
          <w:bCs/>
          <w:color w:val="auto"/>
          <w:sz w:val="21"/>
          <w:szCs w:val="21"/>
          <w:highlight w:val="none"/>
          <w:u w:val="single"/>
        </w:rPr>
        <w:t xml:space="preserve">                                                    </w:t>
      </w:r>
    </w:p>
    <w:p w14:paraId="0BD39B36">
      <w:pPr>
        <w:widowControl w:val="0"/>
        <w:autoSpaceDE w:val="0"/>
        <w:autoSpaceDN w:val="0"/>
        <w:adjustRightInd w:val="0"/>
        <w:spacing w:line="360" w:lineRule="auto"/>
        <w:ind w:left="0" w:leftChars="0" w:firstLine="420" w:firstLineChars="200"/>
        <w:rPr>
          <w:rFonts w:ascii="仿宋" w:hAnsi="仿宋" w:eastAsia="仿宋" w:cs="Times New Roman"/>
          <w:b w:val="0"/>
          <w:bCs/>
          <w:color w:val="auto"/>
          <w:sz w:val="21"/>
          <w:szCs w:val="21"/>
          <w:highlight w:val="none"/>
          <w:lang w:val="en-US" w:eastAsia="zh-CN" w:bidi="ar-SA"/>
        </w:rPr>
      </w:pPr>
      <w:r>
        <w:rPr>
          <w:rFonts w:hint="eastAsia" w:ascii="仿宋" w:hAnsi="仿宋" w:eastAsia="仿宋" w:cs="Times New Roman"/>
          <w:b w:val="0"/>
          <w:bCs/>
          <w:color w:val="auto"/>
          <w:sz w:val="21"/>
          <w:szCs w:val="21"/>
          <w:highlight w:val="none"/>
          <w:lang w:val="en-US" w:eastAsia="zh-CN" w:bidi="ar-SA"/>
        </w:rPr>
        <w:t>四、与异议事项相关的请求及主张</w:t>
      </w:r>
    </w:p>
    <w:p w14:paraId="161A46C9">
      <w:pPr>
        <w:widowControl w:val="0"/>
        <w:adjustRightInd w:val="0"/>
        <w:spacing w:line="360" w:lineRule="auto"/>
        <w:ind w:left="0" w:leftChars="0" w:firstLine="420" w:firstLineChars="200"/>
        <w:jc w:val="left"/>
        <w:textAlignment w:val="baseline"/>
        <w:rPr>
          <w:rFonts w:ascii="仿宋" w:hAnsi="仿宋" w:eastAsia="仿宋" w:cs="Times New Roman"/>
          <w:b w:val="0"/>
          <w:bCs/>
          <w:color w:val="auto"/>
          <w:kern w:val="0"/>
          <w:sz w:val="21"/>
          <w:szCs w:val="21"/>
          <w:highlight w:val="none"/>
          <w:u w:val="single"/>
          <w:lang w:val="en-US" w:eastAsia="zh-CN" w:bidi="ar-SA"/>
        </w:rPr>
      </w:pPr>
      <w:r>
        <w:rPr>
          <w:rFonts w:hint="eastAsia" w:ascii="仿宋" w:hAnsi="仿宋" w:eastAsia="仿宋" w:cs="Times New Roman"/>
          <w:b w:val="0"/>
          <w:bCs/>
          <w:color w:val="auto"/>
          <w:kern w:val="0"/>
          <w:sz w:val="21"/>
          <w:szCs w:val="21"/>
          <w:highlight w:val="none"/>
          <w:lang w:val="en-US" w:eastAsia="zh-CN" w:bidi="ar-SA"/>
        </w:rPr>
        <w:t>请求及主张：</w:t>
      </w:r>
      <w:r>
        <w:rPr>
          <w:rFonts w:hint="eastAsia" w:ascii="仿宋" w:hAnsi="仿宋" w:eastAsia="仿宋" w:cs="Times New Roman"/>
          <w:b w:val="0"/>
          <w:bCs/>
          <w:color w:val="auto"/>
          <w:kern w:val="0"/>
          <w:sz w:val="21"/>
          <w:szCs w:val="21"/>
          <w:highlight w:val="none"/>
          <w:u w:val="single"/>
          <w:lang w:val="en-US" w:eastAsia="zh-CN" w:bidi="ar-SA"/>
        </w:rPr>
        <w:t xml:space="preserve">                                                     </w:t>
      </w:r>
    </w:p>
    <w:p w14:paraId="3F841681">
      <w:pPr>
        <w:widowControl w:val="0"/>
        <w:adjustRightInd w:val="0"/>
        <w:spacing w:line="360" w:lineRule="auto"/>
        <w:ind w:left="0" w:leftChars="0" w:firstLine="420" w:firstLineChars="200"/>
        <w:jc w:val="left"/>
        <w:textAlignment w:val="baseline"/>
        <w:rPr>
          <w:rFonts w:ascii="仿宋" w:hAnsi="仿宋" w:eastAsia="仿宋" w:cs="Times New Roman"/>
          <w:b w:val="0"/>
          <w:bCs/>
          <w:color w:val="auto"/>
          <w:kern w:val="0"/>
          <w:sz w:val="21"/>
          <w:szCs w:val="21"/>
          <w:highlight w:val="none"/>
          <w:u w:val="single"/>
          <w:lang w:val="en-US" w:eastAsia="zh-CN" w:bidi="ar-SA"/>
        </w:rPr>
      </w:pPr>
      <w:r>
        <w:rPr>
          <w:rFonts w:hint="eastAsia" w:ascii="仿宋" w:hAnsi="仿宋" w:eastAsia="仿宋" w:cs="Times New Roman"/>
          <w:b w:val="0"/>
          <w:bCs/>
          <w:color w:val="auto"/>
          <w:kern w:val="0"/>
          <w:sz w:val="21"/>
          <w:szCs w:val="21"/>
          <w:highlight w:val="none"/>
          <w:u w:val="single"/>
          <w:lang w:val="en-US" w:eastAsia="zh-CN" w:bidi="ar-SA"/>
        </w:rPr>
        <w:t xml:space="preserve">                                                                 </w:t>
      </w:r>
    </w:p>
    <w:p w14:paraId="44C4662C">
      <w:pPr>
        <w:ind w:left="0" w:leftChars="0" w:firstLine="420" w:firstLineChars="200"/>
        <w:jc w:val="left"/>
        <w:rPr>
          <w:rFonts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 xml:space="preserve">                              签字（签章）：</w:t>
      </w:r>
    </w:p>
    <w:p w14:paraId="0BFA8D3B">
      <w:pPr>
        <w:ind w:left="0" w:leftChars="0"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 xml:space="preserve">                              单位名称（公章）：</w:t>
      </w:r>
    </w:p>
    <w:p w14:paraId="1814CCDB">
      <w:pPr>
        <w:wordWrap w:val="0"/>
        <w:ind w:left="0" w:leftChars="0" w:firstLine="420" w:firstLineChars="200"/>
        <w:jc w:val="right"/>
        <w:rPr>
          <w:rFonts w:hint="default" w:ascii="仿宋" w:hAnsi="仿宋" w:eastAsia="仿宋" w:cs="仿宋"/>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 xml:space="preserve">年 月 日  </w:t>
      </w:r>
      <w:r>
        <w:rPr>
          <w:rFonts w:hint="eastAsia" w:ascii="仿宋" w:hAnsi="仿宋" w:eastAsia="仿宋" w:cs="仿宋"/>
          <w:color w:val="auto"/>
          <w:sz w:val="21"/>
          <w:szCs w:val="21"/>
          <w:highlight w:val="none"/>
          <w:lang w:val="en-US" w:eastAsia="zh-CN"/>
        </w:rPr>
        <w:t xml:space="preserve">       </w:t>
      </w:r>
    </w:p>
    <w:p w14:paraId="6300A866">
      <w:pPr>
        <w:ind w:left="0" w:leftChars="0"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2F493C19">
      <w:pPr>
        <w:pStyle w:val="54"/>
        <w:rPr>
          <w:rFonts w:hint="eastAsia" w:cs="Times New Roman"/>
          <w:color w:val="auto"/>
          <w:sz w:val="18"/>
          <w:highlight w:val="none"/>
        </w:rPr>
      </w:pPr>
    </w:p>
    <w:p w14:paraId="0E7F0B71">
      <w:pPr>
        <w:pStyle w:val="2"/>
        <w:keepNext w:val="0"/>
        <w:keepLines w:val="0"/>
        <w:spacing w:before="0" w:after="0" w:line="240" w:lineRule="auto"/>
        <w:jc w:val="center"/>
        <w:rPr>
          <w:rFonts w:hint="eastAsia" w:ascii="仿宋" w:hAnsi="仿宋" w:eastAsia="仿宋" w:cs="仿宋"/>
          <w:color w:val="auto"/>
          <w:sz w:val="32"/>
          <w:szCs w:val="32"/>
          <w:highlight w:val="none"/>
        </w:rPr>
      </w:pPr>
      <w:bookmarkStart w:id="470" w:name="_Toc27537"/>
      <w:bookmarkStart w:id="471" w:name="_Toc20391"/>
      <w:r>
        <w:rPr>
          <w:rFonts w:hint="eastAsia" w:ascii="仿宋" w:hAnsi="仿宋" w:eastAsia="仿宋" w:cs="仿宋"/>
          <w:color w:val="auto"/>
          <w:sz w:val="32"/>
          <w:szCs w:val="32"/>
          <w:highlight w:val="none"/>
        </w:rPr>
        <w:t>第三章 评标办法（综合评估法）</w:t>
      </w:r>
      <w:bookmarkEnd w:id="466"/>
      <w:bookmarkEnd w:id="467"/>
      <w:bookmarkEnd w:id="468"/>
      <w:bookmarkEnd w:id="470"/>
      <w:bookmarkEnd w:id="471"/>
    </w:p>
    <w:p w14:paraId="3B903739">
      <w:pPr>
        <w:pStyle w:val="3"/>
        <w:spacing w:before="159" w:line="240" w:lineRule="auto"/>
        <w:jc w:val="center"/>
        <w:rPr>
          <w:rFonts w:hint="eastAsia" w:ascii="仿宋" w:hAnsi="仿宋" w:cs="仿宋"/>
          <w:color w:val="auto"/>
          <w:szCs w:val="21"/>
          <w:highlight w:val="none"/>
        </w:rPr>
      </w:pPr>
      <w:bookmarkStart w:id="472" w:name="_Toc144974566"/>
      <w:bookmarkStart w:id="473" w:name="_Toc106712889"/>
      <w:bookmarkStart w:id="474" w:name="_Toc152042376"/>
      <w:bookmarkStart w:id="475" w:name="_Toc27737"/>
      <w:bookmarkStart w:id="476" w:name="_Toc4052"/>
      <w:bookmarkStart w:id="477" w:name="_Toc38209178"/>
      <w:bookmarkStart w:id="478" w:name="_Toc21190"/>
      <w:bookmarkStart w:id="479" w:name="_Toc152045599"/>
      <w:r>
        <w:rPr>
          <w:rFonts w:hint="eastAsia" w:ascii="仿宋" w:hAnsi="仿宋" w:cs="仿宋"/>
          <w:color w:val="auto"/>
          <w:szCs w:val="21"/>
          <w:highlight w:val="none"/>
        </w:rPr>
        <w:t>评标办法前附表</w:t>
      </w:r>
      <w:bookmarkEnd w:id="472"/>
      <w:bookmarkEnd w:id="473"/>
      <w:bookmarkEnd w:id="474"/>
      <w:bookmarkEnd w:id="475"/>
      <w:bookmarkEnd w:id="476"/>
      <w:bookmarkEnd w:id="477"/>
      <w:bookmarkEnd w:id="478"/>
      <w:bookmarkEnd w:id="479"/>
    </w:p>
    <w:tbl>
      <w:tblPr>
        <w:tblStyle w:val="26"/>
        <w:tblW w:w="90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90"/>
        <w:gridCol w:w="1950"/>
        <w:gridCol w:w="5416"/>
        <w:tblGridChange w:id="0">
          <w:tblGrid>
            <w:gridCol w:w="900"/>
            <w:gridCol w:w="790"/>
            <w:gridCol w:w="1950"/>
            <w:gridCol w:w="5416"/>
          </w:tblGrid>
        </w:tblGridChange>
      </w:tblGrid>
      <w:tr w14:paraId="01400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90" w:type="dxa"/>
            <w:gridSpan w:val="2"/>
            <w:tcBorders>
              <w:top w:val="single" w:color="auto" w:sz="4" w:space="0"/>
              <w:bottom w:val="single" w:color="auto" w:sz="4" w:space="0"/>
              <w:right w:val="single" w:color="auto" w:sz="4" w:space="0"/>
            </w:tcBorders>
            <w:noWrap w:val="0"/>
            <w:vAlign w:val="center"/>
          </w:tcPr>
          <w:p w14:paraId="66DDA93C">
            <w:pPr>
              <w:adjustRightInd w:val="0"/>
              <w:spacing w:line="360" w:lineRule="auto"/>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55582784">
            <w:pPr>
              <w:adjustRightInd w:val="0"/>
              <w:spacing w:line="360" w:lineRule="auto"/>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评审因素</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795596BE">
            <w:pPr>
              <w:adjustRightInd w:val="0"/>
              <w:spacing w:line="360" w:lineRule="auto"/>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评审标准</w:t>
            </w:r>
          </w:p>
        </w:tc>
      </w:tr>
      <w:tr w14:paraId="0C2D7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900" w:type="dxa"/>
            <w:tcBorders>
              <w:top w:val="single" w:color="auto" w:sz="4" w:space="0"/>
              <w:right w:val="single" w:color="auto" w:sz="4" w:space="0"/>
            </w:tcBorders>
            <w:noWrap w:val="0"/>
            <w:vAlign w:val="center"/>
          </w:tcPr>
          <w:p w14:paraId="1A4E9806">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90" w:type="dxa"/>
            <w:tcBorders>
              <w:top w:val="single" w:color="auto" w:sz="4" w:space="0"/>
              <w:right w:val="single" w:color="auto" w:sz="4" w:space="0"/>
            </w:tcBorders>
            <w:noWrap w:val="0"/>
            <w:vAlign w:val="center"/>
          </w:tcPr>
          <w:p w14:paraId="1397A832">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评标方法</w:t>
            </w:r>
          </w:p>
        </w:tc>
        <w:tc>
          <w:tcPr>
            <w:tcW w:w="1950" w:type="dxa"/>
            <w:tcBorders>
              <w:top w:val="single" w:color="auto" w:sz="4" w:space="0"/>
              <w:left w:val="single" w:color="auto" w:sz="4" w:space="0"/>
              <w:right w:val="single" w:color="auto" w:sz="4" w:space="0"/>
            </w:tcBorders>
            <w:noWrap w:val="0"/>
            <w:vAlign w:val="center"/>
          </w:tcPr>
          <w:p w14:paraId="11389182">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中标候选人排序方法</w:t>
            </w:r>
          </w:p>
        </w:tc>
        <w:tc>
          <w:tcPr>
            <w:tcW w:w="5416" w:type="dxa"/>
            <w:tcBorders>
              <w:top w:val="single" w:color="auto" w:sz="4" w:space="0"/>
              <w:left w:val="single" w:color="auto" w:sz="4" w:space="0"/>
              <w:right w:val="single" w:color="auto" w:sz="4" w:space="0"/>
            </w:tcBorders>
            <w:noWrap w:val="0"/>
            <w:vAlign w:val="center"/>
          </w:tcPr>
          <w:p w14:paraId="53A1A66A">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各标段按有效投标人总得分从高到低的顺序推荐3名中标候选人。当合计得分最高的出现相等时，按投标总报价由低到高的顺序排列；如总得分和投标总报价也相同时,按技术标得分由高到低的顺序排列；技术标得分相同时，按综合标得分由高到低的顺序排列；如都相同由评标委员会推荐。</w:t>
            </w:r>
          </w:p>
          <w:p w14:paraId="2A8EA731">
            <w:pPr>
              <w:adjustRightIn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说明：一个投标人最多只能中一个标段，按标段顺序推荐候选人，若同一投标人在多个标段同时评审排名第一，则将按标段顺序推荐其为所投标段的第一中标候选人，该投标人在其它标段不再推荐候选人，其他标段由该标段经评审的第二名上升递补成为第一名，以此类推。</w:t>
            </w:r>
          </w:p>
        </w:tc>
      </w:tr>
      <w:tr w14:paraId="54C28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exact"/>
          <w:jc w:val="center"/>
        </w:trPr>
        <w:tc>
          <w:tcPr>
            <w:tcW w:w="900" w:type="dxa"/>
            <w:vMerge w:val="restart"/>
            <w:tcBorders>
              <w:top w:val="single" w:color="auto" w:sz="4" w:space="0"/>
              <w:bottom w:val="single" w:color="auto" w:sz="4" w:space="0"/>
              <w:right w:val="single" w:color="auto" w:sz="4" w:space="0"/>
            </w:tcBorders>
            <w:noWrap w:val="0"/>
            <w:vAlign w:val="center"/>
          </w:tcPr>
          <w:p w14:paraId="69B83E59">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2.1.1</w:t>
            </w:r>
          </w:p>
        </w:tc>
        <w:tc>
          <w:tcPr>
            <w:tcW w:w="790" w:type="dxa"/>
            <w:vMerge w:val="restart"/>
            <w:tcBorders>
              <w:top w:val="single" w:color="auto" w:sz="4" w:space="0"/>
              <w:bottom w:val="single" w:color="auto" w:sz="4" w:space="0"/>
              <w:right w:val="single" w:color="auto" w:sz="4" w:space="0"/>
            </w:tcBorders>
            <w:noWrap w:val="0"/>
            <w:vAlign w:val="center"/>
          </w:tcPr>
          <w:p w14:paraId="71860CAC">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形式</w:t>
            </w:r>
          </w:p>
          <w:p w14:paraId="01FA4CF9">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评审标准</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51BE0056">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7C728EBC">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与营业执照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资质</w:t>
            </w:r>
            <w:r>
              <w:rPr>
                <w:rFonts w:hint="eastAsia" w:ascii="仿宋" w:hAnsi="仿宋" w:eastAsia="仿宋" w:cs="仿宋"/>
                <w:color w:val="auto"/>
                <w:sz w:val="24"/>
                <w:highlight w:val="none"/>
              </w:rPr>
              <w:t>证书一致</w:t>
            </w:r>
          </w:p>
        </w:tc>
      </w:tr>
      <w:tr w14:paraId="5B30C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exact"/>
          <w:jc w:val="center"/>
        </w:trPr>
        <w:tc>
          <w:tcPr>
            <w:tcW w:w="900" w:type="dxa"/>
            <w:vMerge w:val="continue"/>
            <w:tcBorders>
              <w:top w:val="nil"/>
              <w:bottom w:val="single" w:color="auto" w:sz="4" w:space="0"/>
              <w:right w:val="single" w:color="auto" w:sz="4" w:space="0"/>
            </w:tcBorders>
            <w:noWrap w:val="0"/>
            <w:vAlign w:val="center"/>
          </w:tcPr>
          <w:p w14:paraId="00FE2F85">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top w:val="nil"/>
              <w:bottom w:val="single" w:color="auto" w:sz="4" w:space="0"/>
              <w:right w:val="single" w:color="auto" w:sz="4" w:space="0"/>
            </w:tcBorders>
            <w:noWrap w:val="0"/>
            <w:vAlign w:val="center"/>
          </w:tcPr>
          <w:p w14:paraId="74089157">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13BE3C69">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w:t>
            </w:r>
            <w:r>
              <w:rPr>
                <w:rFonts w:hint="eastAsia" w:ascii="仿宋" w:hAnsi="仿宋" w:eastAsia="仿宋" w:cs="仿宋"/>
                <w:bCs/>
                <w:color w:val="auto"/>
                <w:sz w:val="24"/>
                <w:highlight w:val="none"/>
                <w:lang w:val="en-US" w:eastAsia="zh-CN"/>
              </w:rPr>
              <w:t>文件</w:t>
            </w:r>
            <w:r>
              <w:rPr>
                <w:rFonts w:hint="eastAsia" w:ascii="仿宋" w:hAnsi="仿宋" w:eastAsia="仿宋" w:cs="仿宋"/>
                <w:bCs/>
                <w:color w:val="auto"/>
                <w:sz w:val="24"/>
                <w:highlight w:val="none"/>
              </w:rPr>
              <w:t>签字盖章</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3B6B27FF">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符合第七章“投标文件格式”中签字盖章的要求</w:t>
            </w:r>
          </w:p>
        </w:tc>
      </w:tr>
      <w:tr w14:paraId="1ED73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continue"/>
            <w:tcBorders>
              <w:top w:val="nil"/>
              <w:bottom w:val="single" w:color="auto" w:sz="4" w:space="0"/>
              <w:right w:val="single" w:color="auto" w:sz="4" w:space="0"/>
            </w:tcBorders>
            <w:noWrap w:val="0"/>
            <w:vAlign w:val="center"/>
          </w:tcPr>
          <w:p w14:paraId="09899D50">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top w:val="nil"/>
              <w:bottom w:val="single" w:color="auto" w:sz="4" w:space="0"/>
              <w:right w:val="single" w:color="auto" w:sz="4" w:space="0"/>
            </w:tcBorders>
            <w:noWrap w:val="0"/>
            <w:vAlign w:val="center"/>
          </w:tcPr>
          <w:p w14:paraId="18213705">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65CCF2D">
            <w:pPr>
              <w:pStyle w:val="23"/>
              <w:tabs>
                <w:tab w:val="left" w:pos="1260"/>
              </w:tabs>
              <w:adjustRightInd/>
              <w:spacing w:before="0" w:after="0" w:line="460" w:lineRule="exac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 w:val="0"/>
                <w:color w:val="auto"/>
                <w:sz w:val="24"/>
                <w:szCs w:val="24"/>
                <w:highlight w:val="none"/>
              </w:rPr>
              <w:t>投标文件格式</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1A4CD0A0">
            <w:pPr>
              <w:pStyle w:val="23"/>
              <w:tabs>
                <w:tab w:val="left" w:pos="1260"/>
              </w:tabs>
              <w:adjustRightInd/>
              <w:spacing w:before="0" w:after="0" w:line="460" w:lineRule="exact"/>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color w:val="auto"/>
                <w:sz w:val="24"/>
                <w:szCs w:val="24"/>
                <w:highlight w:val="none"/>
              </w:rPr>
              <w:t>符合第七章“投标文件格式”的要求</w:t>
            </w:r>
          </w:p>
        </w:tc>
      </w:tr>
      <w:tr w14:paraId="2ECB4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continue"/>
            <w:tcBorders>
              <w:top w:val="nil"/>
              <w:bottom w:val="single" w:color="auto" w:sz="4" w:space="0"/>
              <w:right w:val="single" w:color="auto" w:sz="4" w:space="0"/>
            </w:tcBorders>
            <w:noWrap w:val="0"/>
            <w:vAlign w:val="center"/>
          </w:tcPr>
          <w:p w14:paraId="7228E5AC">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top w:val="nil"/>
              <w:bottom w:val="single" w:color="auto" w:sz="4" w:space="0"/>
              <w:right w:val="single" w:color="auto" w:sz="4" w:space="0"/>
            </w:tcBorders>
            <w:noWrap w:val="0"/>
            <w:vAlign w:val="center"/>
          </w:tcPr>
          <w:p w14:paraId="48F1A983">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61FECE28">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报价唯一</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1B46C1BE">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只能有一个有效报价，且不高于最高投标限价</w:t>
            </w:r>
          </w:p>
        </w:tc>
      </w:tr>
      <w:tr w14:paraId="62258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exact"/>
          <w:jc w:val="center"/>
        </w:trPr>
        <w:tc>
          <w:tcPr>
            <w:tcW w:w="900" w:type="dxa"/>
            <w:vMerge w:val="restart"/>
            <w:tcBorders>
              <w:top w:val="single" w:color="auto" w:sz="4" w:space="0"/>
              <w:bottom w:val="single" w:color="auto" w:sz="4" w:space="0"/>
              <w:right w:val="single" w:color="auto" w:sz="4" w:space="0"/>
            </w:tcBorders>
            <w:noWrap w:val="0"/>
            <w:vAlign w:val="center"/>
          </w:tcPr>
          <w:p w14:paraId="16592305">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p>
        </w:tc>
        <w:tc>
          <w:tcPr>
            <w:tcW w:w="790" w:type="dxa"/>
            <w:vMerge w:val="restart"/>
            <w:tcBorders>
              <w:top w:val="single" w:color="auto" w:sz="4" w:space="0"/>
              <w:bottom w:val="single" w:color="auto" w:sz="4" w:space="0"/>
              <w:right w:val="single" w:color="auto" w:sz="4" w:space="0"/>
            </w:tcBorders>
            <w:noWrap w:val="0"/>
            <w:vAlign w:val="center"/>
          </w:tcPr>
          <w:p w14:paraId="1D79FBDC">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资格评审标准</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82767B3">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营业执照</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29AB9293">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符合“投标人须知前附表”第1.4.1项规定</w:t>
            </w:r>
          </w:p>
        </w:tc>
      </w:tr>
      <w:tr w14:paraId="36709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exact"/>
          <w:jc w:val="center"/>
        </w:trPr>
        <w:tc>
          <w:tcPr>
            <w:tcW w:w="900" w:type="dxa"/>
            <w:vMerge w:val="continue"/>
            <w:tcBorders>
              <w:right w:val="single" w:color="auto" w:sz="4" w:space="0"/>
            </w:tcBorders>
            <w:noWrap w:val="0"/>
            <w:vAlign w:val="center"/>
          </w:tcPr>
          <w:p w14:paraId="3CD78455">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right w:val="single" w:color="auto" w:sz="4" w:space="0"/>
            </w:tcBorders>
            <w:noWrap w:val="0"/>
            <w:vAlign w:val="center"/>
          </w:tcPr>
          <w:p w14:paraId="451D5C25">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CC7ACFD">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资质证书</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7D8BDAB8">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符合“投标人须知前附表”第1.4.1项规定</w:t>
            </w:r>
          </w:p>
        </w:tc>
      </w:tr>
      <w:tr w14:paraId="4E385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exact"/>
          <w:jc w:val="center"/>
        </w:trPr>
        <w:tc>
          <w:tcPr>
            <w:tcW w:w="900" w:type="dxa"/>
            <w:vMerge w:val="continue"/>
            <w:tcBorders>
              <w:right w:val="single" w:color="auto" w:sz="4" w:space="0"/>
            </w:tcBorders>
            <w:noWrap w:val="0"/>
            <w:vAlign w:val="center"/>
          </w:tcPr>
          <w:p w14:paraId="7D4A52DA">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right w:val="single" w:color="auto" w:sz="4" w:space="0"/>
            </w:tcBorders>
            <w:noWrap w:val="0"/>
            <w:vAlign w:val="center"/>
          </w:tcPr>
          <w:p w14:paraId="598ABE23">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1F30E273">
            <w:pPr>
              <w:adjustRightInd w:val="0"/>
              <w:spacing w:line="360" w:lineRule="auto"/>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安全生产许可证</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61EF8E39">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符合“投标人须知前附表”第1.4.1项规定</w:t>
            </w:r>
          </w:p>
        </w:tc>
      </w:tr>
      <w:tr w14:paraId="6C5E9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9" w:hRule="exact"/>
          <w:jc w:val="center"/>
        </w:trPr>
        <w:tc>
          <w:tcPr>
            <w:tcW w:w="900" w:type="dxa"/>
            <w:vMerge w:val="continue"/>
            <w:tcBorders>
              <w:right w:val="single" w:color="auto" w:sz="4" w:space="0"/>
            </w:tcBorders>
            <w:noWrap w:val="0"/>
            <w:vAlign w:val="center"/>
          </w:tcPr>
          <w:p w14:paraId="5F931355">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right w:val="single" w:color="auto" w:sz="4" w:space="0"/>
            </w:tcBorders>
            <w:noWrap w:val="0"/>
            <w:vAlign w:val="center"/>
          </w:tcPr>
          <w:p w14:paraId="3F282478">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242EEEDE">
            <w:pPr>
              <w:adjustRightInd w:val="0"/>
              <w:spacing w:line="360" w:lineRule="auto"/>
              <w:jc w:val="center"/>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项目经理</w:t>
            </w:r>
            <w:r>
              <w:rPr>
                <w:rFonts w:hint="eastAsia" w:ascii="仿宋" w:hAnsi="仿宋" w:eastAsia="仿宋" w:cs="仿宋"/>
                <w:bCs/>
                <w:color w:val="auto"/>
                <w:sz w:val="24"/>
                <w:highlight w:val="none"/>
                <w:lang w:val="en-US" w:eastAsia="zh-CN"/>
              </w:rPr>
              <w:t>资格</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520A55B2">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符合“投标人须知前附表”第1.4.1项规定</w:t>
            </w:r>
          </w:p>
        </w:tc>
      </w:tr>
      <w:tr w14:paraId="6C3BB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exact"/>
          <w:jc w:val="center"/>
        </w:trPr>
        <w:tc>
          <w:tcPr>
            <w:tcW w:w="900" w:type="dxa"/>
            <w:vMerge w:val="continue"/>
            <w:tcBorders>
              <w:top w:val="nil"/>
              <w:bottom w:val="single" w:color="auto" w:sz="4" w:space="0"/>
              <w:right w:val="single" w:color="auto" w:sz="4" w:space="0"/>
            </w:tcBorders>
            <w:noWrap w:val="0"/>
            <w:vAlign w:val="center"/>
          </w:tcPr>
          <w:p w14:paraId="4F09BED8">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p>
        </w:tc>
        <w:tc>
          <w:tcPr>
            <w:tcW w:w="790" w:type="dxa"/>
            <w:vMerge w:val="continue"/>
            <w:tcBorders>
              <w:top w:val="nil"/>
              <w:bottom w:val="single" w:color="auto" w:sz="4" w:space="0"/>
              <w:right w:val="single" w:color="auto" w:sz="4" w:space="0"/>
            </w:tcBorders>
            <w:noWrap w:val="0"/>
            <w:vAlign w:val="center"/>
          </w:tcPr>
          <w:p w14:paraId="458D0173">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7CA2143A">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信用承诺函</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0809ED10">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符合“投标人须知前附表”第1.4.1项规定</w:t>
            </w:r>
          </w:p>
        </w:tc>
      </w:tr>
      <w:tr w14:paraId="1AC260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8" w:hRule="exact"/>
          <w:jc w:val="center"/>
        </w:trPr>
        <w:tc>
          <w:tcPr>
            <w:tcW w:w="900" w:type="dxa"/>
            <w:vMerge w:val="continue"/>
            <w:tcBorders>
              <w:top w:val="nil"/>
              <w:bottom w:val="single" w:color="auto" w:sz="4" w:space="0"/>
              <w:right w:val="single" w:color="auto" w:sz="4" w:space="0"/>
            </w:tcBorders>
            <w:noWrap w:val="0"/>
            <w:vAlign w:val="center"/>
          </w:tcPr>
          <w:p w14:paraId="1FAD21EE">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top w:val="nil"/>
              <w:bottom w:val="single" w:color="auto" w:sz="4" w:space="0"/>
              <w:right w:val="single" w:color="auto" w:sz="4" w:space="0"/>
            </w:tcBorders>
            <w:noWrap w:val="0"/>
            <w:vAlign w:val="center"/>
          </w:tcPr>
          <w:p w14:paraId="3E48792C">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29589949">
            <w:pPr>
              <w:adjustRightInd w:val="0"/>
              <w:spacing w:line="360" w:lineRule="auto"/>
              <w:jc w:val="center"/>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其他</w:t>
            </w:r>
            <w:r>
              <w:rPr>
                <w:rFonts w:hint="eastAsia" w:ascii="仿宋" w:hAnsi="仿宋" w:eastAsia="仿宋" w:cs="仿宋"/>
                <w:color w:val="auto"/>
                <w:sz w:val="24"/>
                <w:highlight w:val="none"/>
                <w:lang w:val="en-US" w:eastAsia="zh-CN"/>
              </w:rPr>
              <w:t>要求</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2F6C5A17">
            <w:pPr>
              <w:adjustRightInd w:val="0"/>
              <w:spacing w:line="24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符合“投标人须知前附表”第1.4.1款规定。</w:t>
            </w:r>
          </w:p>
          <w:p w14:paraId="1B91BDBF">
            <w:pPr>
              <w:adjustRightInd w:val="0"/>
              <w:spacing w:line="24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不存在投标人须知1.4.3款的情形</w:t>
            </w:r>
          </w:p>
        </w:tc>
      </w:tr>
      <w:tr w14:paraId="17EFE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restart"/>
            <w:tcBorders>
              <w:top w:val="single" w:color="auto" w:sz="4" w:space="0"/>
              <w:right w:val="single" w:color="auto" w:sz="4" w:space="0"/>
            </w:tcBorders>
            <w:noWrap w:val="0"/>
            <w:vAlign w:val="center"/>
          </w:tcPr>
          <w:p w14:paraId="24C5F624">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2.1.3</w:t>
            </w:r>
          </w:p>
        </w:tc>
        <w:tc>
          <w:tcPr>
            <w:tcW w:w="790" w:type="dxa"/>
            <w:vMerge w:val="restart"/>
            <w:tcBorders>
              <w:top w:val="single" w:color="auto" w:sz="4" w:space="0"/>
              <w:right w:val="single" w:color="auto" w:sz="4" w:space="0"/>
            </w:tcBorders>
            <w:noWrap w:val="0"/>
            <w:vAlign w:val="center"/>
          </w:tcPr>
          <w:p w14:paraId="6657FF25">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响应性评审标准</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4538412">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招标范围</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67849738">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符合第二章“投标人须知前附表”第1.3.1项规定</w:t>
            </w:r>
          </w:p>
        </w:tc>
      </w:tr>
      <w:tr w14:paraId="6FD29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continue"/>
            <w:tcBorders>
              <w:top w:val="single" w:color="auto" w:sz="4" w:space="0"/>
              <w:right w:val="single" w:color="auto" w:sz="4" w:space="0"/>
            </w:tcBorders>
            <w:noWrap w:val="0"/>
            <w:vAlign w:val="center"/>
          </w:tcPr>
          <w:p w14:paraId="55ABD49A">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top w:val="single" w:color="auto" w:sz="4" w:space="0"/>
              <w:right w:val="single" w:color="auto" w:sz="4" w:space="0"/>
            </w:tcBorders>
            <w:noWrap w:val="0"/>
            <w:vAlign w:val="center"/>
          </w:tcPr>
          <w:p w14:paraId="6EB56E75">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4A6B4EC8">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4F8F82C5">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符合第二章“投标人须知” 第 3.2 款规定</w:t>
            </w:r>
          </w:p>
        </w:tc>
      </w:tr>
      <w:tr w14:paraId="046BB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continue"/>
            <w:tcBorders>
              <w:right w:val="single" w:color="auto" w:sz="4" w:space="0"/>
            </w:tcBorders>
            <w:noWrap w:val="0"/>
            <w:vAlign w:val="center"/>
          </w:tcPr>
          <w:p w14:paraId="7AB1AE08">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right w:val="single" w:color="auto" w:sz="4" w:space="0"/>
            </w:tcBorders>
            <w:noWrap w:val="0"/>
            <w:vAlign w:val="center"/>
          </w:tcPr>
          <w:p w14:paraId="624902D8">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144724C">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3A6263FD">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符合第二章“投标人须知前附表”第3.3.1项规定</w:t>
            </w:r>
          </w:p>
        </w:tc>
      </w:tr>
      <w:tr w14:paraId="13739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1" w:author="Administrator" w:date="2025-03-26T19:31:51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831" w:hRule="exact"/>
          <w:jc w:val="center"/>
          <w:trPrChange w:id="1" w:author="Administrator" w:date="2025-03-26T19:31:51Z">
            <w:trPr>
              <w:trHeight w:val="567" w:hRule="exact"/>
              <w:jc w:val="center"/>
            </w:trPr>
          </w:trPrChange>
        </w:trPr>
        <w:tc>
          <w:tcPr>
            <w:tcW w:w="900" w:type="dxa"/>
            <w:vMerge w:val="continue"/>
            <w:tcBorders>
              <w:right w:val="single" w:color="auto" w:sz="4" w:space="0"/>
            </w:tcBorders>
            <w:noWrap w:val="0"/>
            <w:vAlign w:val="center"/>
            <w:tcPrChange w:id="2" w:author="Administrator" w:date="2025-03-26T19:31:51Z">
              <w:tcPr>
                <w:tcW w:w="900" w:type="dxa"/>
                <w:vMerge w:val="continue"/>
                <w:tcBorders>
                  <w:right w:val="single" w:color="auto" w:sz="4" w:space="0"/>
                </w:tcBorders>
                <w:noWrap w:val="0"/>
                <w:vAlign w:val="center"/>
              </w:tcPr>
            </w:tcPrChange>
          </w:tcPr>
          <w:p w14:paraId="42E8E1EF">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right w:val="single" w:color="auto" w:sz="4" w:space="0"/>
            </w:tcBorders>
            <w:noWrap w:val="0"/>
            <w:vAlign w:val="center"/>
            <w:tcPrChange w:id="3" w:author="Administrator" w:date="2025-03-26T19:31:51Z">
              <w:tcPr>
                <w:tcW w:w="790" w:type="dxa"/>
                <w:vMerge w:val="continue"/>
                <w:tcBorders>
                  <w:right w:val="single" w:color="auto" w:sz="4" w:space="0"/>
                </w:tcBorders>
                <w:noWrap w:val="0"/>
                <w:vAlign w:val="center"/>
              </w:tcPr>
            </w:tcPrChange>
          </w:tcPr>
          <w:p w14:paraId="0A025E9B">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Change w:id="4" w:author="Administrator" w:date="2025-03-26T19:31:51Z">
              <w:tcPr>
                <w:tcW w:w="1950" w:type="dxa"/>
                <w:tcBorders>
                  <w:top w:val="single" w:color="auto" w:sz="4" w:space="0"/>
                  <w:left w:val="single" w:color="auto" w:sz="4" w:space="0"/>
                  <w:bottom w:val="single" w:color="auto" w:sz="4" w:space="0"/>
                  <w:right w:val="single" w:color="auto" w:sz="4" w:space="0"/>
                </w:tcBorders>
                <w:noWrap w:val="0"/>
                <w:vAlign w:val="center"/>
              </w:tcPr>
            </w:tcPrChange>
          </w:tcPr>
          <w:p w14:paraId="7D521BFD">
            <w:pPr>
              <w:adjustRightInd w:val="0"/>
              <w:spacing w:line="360" w:lineRule="auto"/>
              <w:jc w:val="center"/>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实质性要求和条件</w:t>
            </w:r>
          </w:p>
        </w:tc>
        <w:tc>
          <w:tcPr>
            <w:tcW w:w="5416" w:type="dxa"/>
            <w:tcBorders>
              <w:top w:val="single" w:color="auto" w:sz="4" w:space="0"/>
              <w:left w:val="single" w:color="auto" w:sz="4" w:space="0"/>
              <w:bottom w:val="single" w:color="auto" w:sz="4" w:space="0"/>
              <w:right w:val="single" w:color="auto" w:sz="4" w:space="0"/>
            </w:tcBorders>
            <w:noWrap w:val="0"/>
            <w:vAlign w:val="center"/>
            <w:tcPrChange w:id="5" w:author="Administrator" w:date="2025-03-26T19:31:51Z">
              <w:tcPr>
                <w:tcW w:w="5416" w:type="dxa"/>
                <w:tcBorders>
                  <w:top w:val="single" w:color="auto" w:sz="4" w:space="0"/>
                  <w:left w:val="single" w:color="auto" w:sz="4" w:space="0"/>
                  <w:bottom w:val="single" w:color="auto" w:sz="4" w:space="0"/>
                  <w:right w:val="single" w:color="auto" w:sz="4" w:space="0"/>
                </w:tcBorders>
                <w:noWrap w:val="0"/>
                <w:vAlign w:val="center"/>
              </w:tcPr>
            </w:tcPrChange>
          </w:tcPr>
          <w:p w14:paraId="37D894C5">
            <w:pPr>
              <w:adjustRightIn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符合投标人须知前附表的规定</w:t>
            </w:r>
          </w:p>
        </w:tc>
      </w:tr>
      <w:tr w14:paraId="56A87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00" w:type="dxa"/>
            <w:vMerge w:val="continue"/>
            <w:tcBorders>
              <w:bottom w:val="single" w:color="auto" w:sz="4" w:space="0"/>
              <w:right w:val="single" w:color="auto" w:sz="4" w:space="0"/>
            </w:tcBorders>
            <w:noWrap w:val="0"/>
            <w:vAlign w:val="center"/>
          </w:tcPr>
          <w:p w14:paraId="21858342">
            <w:pPr>
              <w:adjustRightInd w:val="0"/>
              <w:spacing w:line="360" w:lineRule="auto"/>
              <w:jc w:val="center"/>
              <w:textAlignment w:val="baseline"/>
              <w:rPr>
                <w:rFonts w:hint="eastAsia" w:ascii="仿宋" w:hAnsi="仿宋" w:eastAsia="仿宋" w:cs="仿宋"/>
                <w:color w:val="auto"/>
                <w:sz w:val="24"/>
                <w:highlight w:val="none"/>
              </w:rPr>
            </w:pPr>
          </w:p>
        </w:tc>
        <w:tc>
          <w:tcPr>
            <w:tcW w:w="790" w:type="dxa"/>
            <w:vMerge w:val="continue"/>
            <w:tcBorders>
              <w:bottom w:val="single" w:color="auto" w:sz="4" w:space="0"/>
              <w:right w:val="single" w:color="auto" w:sz="4" w:space="0"/>
            </w:tcBorders>
            <w:noWrap w:val="0"/>
            <w:vAlign w:val="center"/>
          </w:tcPr>
          <w:p w14:paraId="24E7E475">
            <w:pPr>
              <w:adjustRightInd w:val="0"/>
              <w:spacing w:line="360" w:lineRule="auto"/>
              <w:jc w:val="center"/>
              <w:textAlignment w:val="baseline"/>
              <w:rPr>
                <w:rFonts w:hint="eastAsia" w:ascii="仿宋" w:hAnsi="仿宋" w:eastAsia="仿宋" w:cs="仿宋"/>
                <w:color w:val="auto"/>
                <w:sz w:val="24"/>
                <w:highlight w:val="none"/>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14:paraId="221BDB02">
            <w:pPr>
              <w:adjustRightInd w:val="0"/>
              <w:spacing w:line="360" w:lineRule="auto"/>
              <w:jc w:val="center"/>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其他</w:t>
            </w:r>
            <w:r>
              <w:rPr>
                <w:rFonts w:hint="eastAsia" w:ascii="仿宋" w:hAnsi="仿宋" w:eastAsia="仿宋" w:cs="仿宋"/>
                <w:color w:val="auto"/>
                <w:sz w:val="24"/>
                <w:highlight w:val="none"/>
                <w:lang w:val="en-US" w:eastAsia="zh-CN"/>
              </w:rPr>
              <w:t>要求</w:t>
            </w:r>
          </w:p>
        </w:tc>
        <w:tc>
          <w:tcPr>
            <w:tcW w:w="5416" w:type="dxa"/>
            <w:tcBorders>
              <w:top w:val="single" w:color="auto" w:sz="4" w:space="0"/>
              <w:left w:val="single" w:color="auto" w:sz="4" w:space="0"/>
              <w:bottom w:val="single" w:color="auto" w:sz="4" w:space="0"/>
              <w:right w:val="single" w:color="auto" w:sz="4" w:space="0"/>
            </w:tcBorders>
            <w:noWrap w:val="0"/>
            <w:vAlign w:val="center"/>
          </w:tcPr>
          <w:p w14:paraId="5DF1CB41">
            <w:pPr>
              <w:adjustRightIn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招标文件规定的其他内容</w:t>
            </w:r>
          </w:p>
        </w:tc>
      </w:tr>
    </w:tbl>
    <w:p w14:paraId="19B9919E">
      <w:pPr>
        <w:spacing w:line="360" w:lineRule="auto"/>
        <w:rPr>
          <w:rFonts w:hint="eastAsia" w:ascii="仿宋" w:hAnsi="仿宋" w:eastAsia="仿宋" w:cs="仿宋"/>
          <w:b/>
          <w:color w:val="auto"/>
          <w:kern w:val="0"/>
          <w:szCs w:val="21"/>
          <w:highlight w:val="none"/>
        </w:rPr>
      </w:pPr>
    </w:p>
    <w:p w14:paraId="62DA3DA8">
      <w:pPr>
        <w:spacing w:line="440" w:lineRule="exact"/>
        <w:rPr>
          <w:rFonts w:ascii="仿宋" w:hAnsi="仿宋" w:eastAsia="仿宋" w:cs="仿宋"/>
          <w:b/>
          <w:color w:val="auto"/>
          <w:kern w:val="0"/>
          <w:sz w:val="24"/>
          <w:highlight w:val="none"/>
        </w:rPr>
      </w:pPr>
      <w:bookmarkStart w:id="480" w:name="_Toc144974577"/>
      <w:bookmarkStart w:id="481" w:name="_Toc152045609"/>
      <w:bookmarkStart w:id="482" w:name="_Toc152042387"/>
      <w:r>
        <w:rPr>
          <w:rFonts w:hint="eastAsia" w:ascii="仿宋" w:hAnsi="仿宋" w:eastAsia="仿宋" w:cs="仿宋"/>
          <w:b/>
          <w:color w:val="auto"/>
          <w:kern w:val="0"/>
          <w:sz w:val="24"/>
          <w:highlight w:val="none"/>
        </w:rPr>
        <w:t xml:space="preserve">1.评标方法 </w:t>
      </w:r>
    </w:p>
    <w:p w14:paraId="15C287EB">
      <w:pPr>
        <w:pStyle w:val="23"/>
        <w:tabs>
          <w:tab w:val="left" w:pos="1260"/>
        </w:tabs>
        <w:adjustRightInd/>
        <w:spacing w:before="0" w:after="0" w:line="440" w:lineRule="exact"/>
        <w:ind w:firstLine="480" w:firstLineChars="200"/>
        <w:jc w:val="both"/>
        <w:textAlignment w:val="auto"/>
        <w:outlineLvl w:val="9"/>
        <w:rPr>
          <w:rFonts w:ascii="仿宋" w:hAnsi="仿宋" w:eastAsia="仿宋" w:cs="仿宋"/>
          <w:b w:val="0"/>
          <w:color w:val="auto"/>
          <w:sz w:val="24"/>
          <w:szCs w:val="24"/>
          <w:highlight w:val="none"/>
        </w:rPr>
      </w:pPr>
      <w:bookmarkStart w:id="483" w:name="_Toc13380"/>
      <w:bookmarkStart w:id="484" w:name="_Toc31101"/>
      <w:bookmarkStart w:id="485" w:name="_Toc26912"/>
      <w:bookmarkStart w:id="486" w:name="_Toc5772"/>
      <w:bookmarkStart w:id="487" w:name="_Toc28859"/>
      <w:bookmarkStart w:id="488" w:name="_Toc254788515"/>
      <w:bookmarkStart w:id="489" w:name="_Toc378434267"/>
      <w:bookmarkStart w:id="490" w:name="_Toc11251433"/>
      <w:bookmarkStart w:id="491" w:name="_Toc11402736"/>
      <w:bookmarkStart w:id="492" w:name="_Toc10484705"/>
      <w:bookmarkStart w:id="493" w:name="_Toc536457077"/>
      <w:bookmarkStart w:id="494" w:name="_Toc256519729"/>
      <w:bookmarkStart w:id="495" w:name="_Toc10623363"/>
      <w:bookmarkStart w:id="496" w:name="_Toc10484859"/>
      <w:r>
        <w:rPr>
          <w:rFonts w:hint="eastAsia" w:ascii="仿宋" w:hAnsi="仿宋" w:eastAsia="仿宋" w:cs="仿宋"/>
          <w:b w:val="0"/>
          <w:color w:val="auto"/>
          <w:sz w:val="24"/>
          <w:szCs w:val="24"/>
          <w:highlight w:val="none"/>
        </w:rPr>
        <w:t>本次评标采用综合评估法。评标委员会对满足招标文件实质性要求的投标文件，按照详细评审标准进行打分，并按得分由高到低顺序推荐前3名为中标候选人。</w:t>
      </w:r>
      <w:bookmarkEnd w:id="483"/>
      <w:bookmarkEnd w:id="484"/>
      <w:bookmarkEnd w:id="485"/>
      <w:bookmarkEnd w:id="486"/>
      <w:bookmarkEnd w:id="487"/>
      <w:r>
        <w:rPr>
          <w:rFonts w:hint="eastAsia" w:ascii="仿宋" w:hAnsi="仿宋" w:eastAsia="仿宋" w:cs="仿宋"/>
          <w:b w:val="0"/>
          <w:color w:val="auto"/>
          <w:sz w:val="24"/>
          <w:szCs w:val="24"/>
          <w:highlight w:val="none"/>
        </w:rPr>
        <w:t>当合计得分最高的出现相等时，按投标总报价由低到高的顺序排列；如总得分和投标总报价也相同时，按技术标得分由高到低的顺序排列；如技术标得分相同时，按综合标得分由高到低的顺序排列，如综合标得分相同时，由评标委员会确定排序。</w:t>
      </w:r>
    </w:p>
    <w:bookmarkEnd w:id="488"/>
    <w:bookmarkEnd w:id="489"/>
    <w:bookmarkEnd w:id="490"/>
    <w:bookmarkEnd w:id="491"/>
    <w:bookmarkEnd w:id="492"/>
    <w:bookmarkEnd w:id="493"/>
    <w:bookmarkEnd w:id="494"/>
    <w:bookmarkEnd w:id="495"/>
    <w:bookmarkEnd w:id="496"/>
    <w:p w14:paraId="6C506FAE">
      <w:pPr>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2、评审标准和程序</w:t>
      </w:r>
    </w:p>
    <w:p w14:paraId="3DF0B9D0">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评标活动分为初步评审和详细评审等阶段：</w:t>
      </w:r>
    </w:p>
    <w:p w14:paraId="2968C519">
      <w:pPr>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2.1初步评审</w:t>
      </w:r>
    </w:p>
    <w:p w14:paraId="0E9CF07D">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2.1.1评标委员会按招标文件评标办法前附表要求对投标文件的符合性、响应性、资格条件和重大偏差等逐一进行评审。经审查不符合招标文件要求的，不再进入详细评审阶段；符合招标文件要求的投标文件为有效投标文件，进入详细评审阶段，其报价为有效投标报价。</w:t>
      </w:r>
    </w:p>
    <w:p w14:paraId="3E33BC49">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2.1.2重大偏差是指投标文件存在标的物、价格、工期、质量、付款方式等不符合《评标委员会和评标方法暂行规定》第二十五条规定及招标文件实质性要求的情况。</w:t>
      </w:r>
    </w:p>
    <w:p w14:paraId="05C997B3">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kern w:val="0"/>
          <w:sz w:val="24"/>
          <w:highlight w:val="none"/>
        </w:rPr>
        <w:t>2.1.3</w:t>
      </w:r>
      <w:r>
        <w:rPr>
          <w:rFonts w:hint="eastAsia" w:ascii="仿宋" w:hAnsi="仿宋" w:eastAsia="仿宋" w:cs="仿宋"/>
          <w:bCs/>
          <w:color w:val="auto"/>
          <w:sz w:val="24"/>
          <w:highlight w:val="none"/>
        </w:rPr>
        <w:t>投标人有以下情形之一的，其投标否决投标处理：</w:t>
      </w:r>
    </w:p>
    <w:p w14:paraId="4CA04A6D">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第二章“投标人须知”第1.4.3项规定的任何一种情形的；</w:t>
      </w:r>
    </w:p>
    <w:p w14:paraId="1B061894">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开标时因投标人自身原因而导致投标文件无法导入“洛阳市电子招投标交易平台”电子开标、评标系统</w:t>
      </w:r>
      <w:r>
        <w:rPr>
          <w:rFonts w:hint="eastAsia" w:ascii="仿宋" w:hAnsi="仿宋" w:eastAsia="仿宋" w:cs="仿宋"/>
          <w:b/>
          <w:color w:val="auto"/>
          <w:sz w:val="24"/>
          <w:highlight w:val="none"/>
          <w:lang w:val="en-US" w:eastAsia="zh-CN"/>
        </w:rPr>
        <w:t>的</w:t>
      </w:r>
      <w:r>
        <w:rPr>
          <w:rFonts w:hint="eastAsia" w:ascii="仿宋" w:hAnsi="仿宋" w:eastAsia="仿宋" w:cs="仿宋"/>
          <w:b/>
          <w:color w:val="auto"/>
          <w:sz w:val="24"/>
          <w:highlight w:val="none"/>
          <w:lang w:eastAsia="zh-CN"/>
        </w:rPr>
        <w:t>；</w:t>
      </w:r>
    </w:p>
    <w:p w14:paraId="7BDFBC40">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投标人所报设计变更及预算外签证部分优惠率低于投标优惠率【投标优惠率=（预算控制金额-投标人投标报价）/预算控制金额*100%】</w:t>
      </w:r>
      <w:r>
        <w:rPr>
          <w:rFonts w:hint="eastAsia" w:ascii="仿宋" w:hAnsi="仿宋" w:eastAsia="仿宋" w:cs="仿宋"/>
          <w:b/>
          <w:color w:val="auto"/>
          <w:sz w:val="24"/>
          <w:highlight w:val="none"/>
          <w:lang w:val="en-US" w:eastAsia="zh-CN"/>
        </w:rPr>
        <w:t>的；</w:t>
      </w:r>
    </w:p>
    <w:p w14:paraId="0556BF5C">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投标人的投标报价得高于招标控制价</w:t>
      </w:r>
      <w:r>
        <w:rPr>
          <w:rFonts w:hint="eastAsia" w:ascii="仿宋" w:hAnsi="仿宋" w:eastAsia="仿宋" w:cs="仿宋"/>
          <w:b/>
          <w:color w:val="auto"/>
          <w:sz w:val="24"/>
          <w:highlight w:val="none"/>
          <w:lang w:val="en-US" w:eastAsia="zh-CN"/>
        </w:rPr>
        <w:t>的；</w:t>
      </w:r>
    </w:p>
    <w:p w14:paraId="6E67131D">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未通过电子标雷同性检查的；</w:t>
      </w:r>
    </w:p>
    <w:p w14:paraId="4409D5F2">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超出偏差范围和最高偏差项数的</w:t>
      </w:r>
      <w:r>
        <w:rPr>
          <w:rFonts w:hint="eastAsia" w:ascii="仿宋" w:hAnsi="仿宋" w:eastAsia="仿宋" w:cs="仿宋"/>
          <w:b/>
          <w:color w:val="auto"/>
          <w:sz w:val="24"/>
          <w:highlight w:val="none"/>
          <w:lang w:eastAsia="zh-CN"/>
        </w:rPr>
        <w:t>；</w:t>
      </w:r>
    </w:p>
    <w:p w14:paraId="7E688152">
      <w:pPr>
        <w:numPr>
          <w:ilvl w:val="0"/>
          <w:numId w:val="1"/>
        </w:num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未对实质性要求和条件进行响应的；</w:t>
      </w:r>
    </w:p>
    <w:p w14:paraId="7FDCE32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）串通投标或弄虚作假或有其他违法行为的；</w:t>
      </w:r>
    </w:p>
    <w:p w14:paraId="6137AC6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）不按评标委员会要求澄清、说明或补正的；</w:t>
      </w:r>
    </w:p>
    <w:p w14:paraId="09E1C13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）投标文件不按规定签字盖章的；</w:t>
      </w:r>
    </w:p>
    <w:p w14:paraId="5DFF770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11</w:t>
      </w:r>
      <w:r>
        <w:rPr>
          <w:rFonts w:hint="eastAsia" w:ascii="仿宋" w:hAnsi="仿宋" w:eastAsia="仿宋" w:cs="仿宋"/>
          <w:b/>
          <w:color w:val="auto"/>
          <w:sz w:val="24"/>
          <w:highlight w:val="none"/>
        </w:rPr>
        <w:t>）投标文件的关键内容字迹模糊，无法辨认的；</w:t>
      </w:r>
    </w:p>
    <w:p w14:paraId="77DE3C5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12</w:t>
      </w:r>
      <w:r>
        <w:rPr>
          <w:rFonts w:hint="eastAsia" w:ascii="仿宋" w:hAnsi="仿宋" w:eastAsia="仿宋" w:cs="仿宋"/>
          <w:b/>
          <w:color w:val="auto"/>
          <w:sz w:val="24"/>
          <w:highlight w:val="none"/>
        </w:rPr>
        <w:t>）未按招标文件规定编制各项报价的；</w:t>
      </w:r>
    </w:p>
    <w:p w14:paraId="32CE67D2">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13</w:t>
      </w:r>
      <w:r>
        <w:rPr>
          <w:rFonts w:hint="eastAsia" w:ascii="仿宋" w:hAnsi="仿宋" w:eastAsia="仿宋" w:cs="仿宋"/>
          <w:b/>
          <w:color w:val="auto"/>
          <w:kern w:val="0"/>
          <w:sz w:val="24"/>
          <w:highlight w:val="none"/>
        </w:rPr>
        <w:t>）规费和安全文明施工费违反工程造价计价有关规定的；</w:t>
      </w:r>
    </w:p>
    <w:p w14:paraId="1BA1773D">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14</w:t>
      </w:r>
      <w:r>
        <w:rPr>
          <w:rFonts w:hint="eastAsia" w:ascii="仿宋" w:hAnsi="仿宋" w:eastAsia="仿宋" w:cs="仿宋"/>
          <w:b/>
          <w:color w:val="auto"/>
          <w:kern w:val="0"/>
          <w:sz w:val="24"/>
          <w:highlight w:val="none"/>
        </w:rPr>
        <w:t>）不同投标人的投标文件中列出的人工费、材料费、机械使用费、管理费及利润的价格构成部分或全部雷同的，不同投标人的投标报价或报价组成出现非常一致，或呈规律性变化的；</w:t>
      </w:r>
    </w:p>
    <w:p w14:paraId="57B5B640">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15</w:t>
      </w:r>
      <w:r>
        <w:rPr>
          <w:rFonts w:hint="eastAsia" w:ascii="仿宋" w:hAnsi="仿宋" w:eastAsia="仿宋" w:cs="仿宋"/>
          <w:b/>
          <w:color w:val="auto"/>
          <w:kern w:val="0"/>
          <w:sz w:val="24"/>
          <w:highlight w:val="none"/>
        </w:rPr>
        <w:t>）不同投标人委托同一单位或者个人办理投标事宜；</w:t>
      </w:r>
    </w:p>
    <w:p w14:paraId="74B82817">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16</w:t>
      </w:r>
      <w:r>
        <w:rPr>
          <w:rFonts w:hint="eastAsia" w:ascii="仿宋" w:hAnsi="仿宋" w:eastAsia="仿宋" w:cs="仿宋"/>
          <w:b/>
          <w:color w:val="auto"/>
          <w:kern w:val="0"/>
          <w:sz w:val="24"/>
          <w:highlight w:val="none"/>
        </w:rPr>
        <w:t>）不同投标人的投标文件载明的项目管理成员或者联系人、联系地址、联系电话为同一人，或者联系地址、联系电话为同一单位；</w:t>
      </w:r>
    </w:p>
    <w:p w14:paraId="12919709">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17</w:t>
      </w:r>
      <w:r>
        <w:rPr>
          <w:rFonts w:hint="eastAsia" w:ascii="仿宋" w:hAnsi="仿宋" w:eastAsia="仿宋" w:cs="仿宋"/>
          <w:b/>
          <w:color w:val="auto"/>
          <w:kern w:val="0"/>
          <w:sz w:val="24"/>
          <w:highlight w:val="none"/>
        </w:rPr>
        <w:t>）不同投标人的投标文件异常一致；</w:t>
      </w:r>
    </w:p>
    <w:p w14:paraId="0BCA2453">
      <w:pPr>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18</w:t>
      </w:r>
      <w:r>
        <w:rPr>
          <w:rFonts w:hint="eastAsia" w:ascii="仿宋" w:hAnsi="仿宋" w:eastAsia="仿宋" w:cs="仿宋"/>
          <w:b/>
          <w:color w:val="auto"/>
          <w:kern w:val="0"/>
          <w:sz w:val="24"/>
          <w:highlight w:val="none"/>
        </w:rPr>
        <w:t>）不同投标人的投标文件错、漏之处非正常一致，且不能合理解释的；</w:t>
      </w:r>
    </w:p>
    <w:p w14:paraId="39E032ED">
      <w:pPr>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lang w:val="en-US" w:eastAsia="zh-CN"/>
        </w:rPr>
        <w:t>19</w:t>
      </w:r>
      <w:r>
        <w:rPr>
          <w:rFonts w:hint="eastAsia" w:ascii="仿宋" w:hAnsi="仿宋" w:eastAsia="仿宋" w:cs="仿宋"/>
          <w:b/>
          <w:color w:val="auto"/>
          <w:kern w:val="0"/>
          <w:sz w:val="24"/>
          <w:highlight w:val="none"/>
        </w:rPr>
        <w:t>）提供虚假材料或不符合法律、法规和本招标文件规定的其他实质性要求的。</w:t>
      </w:r>
    </w:p>
    <w:p w14:paraId="778DC25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评标委员会否决投标时应审慎。因招标文件或工程预算书表述歧义或逻辑错误等原因，造成投标文件表述不一致的，不作为否决投标的因素。投标人明显打字或排版错误且不影响实质内容的，评标委员会可要求投标人作出书面澄清、说明或补正，不予以否决投标。</w:t>
      </w:r>
    </w:p>
    <w:p w14:paraId="038552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投标报价有算术错误的，评标委员会按以下原则对投标报价进行修正，修正的价格经投标人书面确认后具有约束力。投标人不接受修正价格的，其投标作废标处理。</w:t>
      </w:r>
    </w:p>
    <w:p w14:paraId="492413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（1）投标文件中的大写金额与小写金额不一致的，以大写金额为准；</w:t>
      </w:r>
    </w:p>
    <w:p w14:paraId="381AF8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（2）总价金额与依据单价计算出的结果不一致的，以单价金额为准修正总价，但单价金额小数点有明显错误的除外。</w:t>
      </w:r>
    </w:p>
    <w:p w14:paraId="427D9F95">
      <w:pPr>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2.2 详细评审</w:t>
      </w:r>
    </w:p>
    <w:p w14:paraId="152556CD">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评标委员会对通过初步评审合格的有效投标文件，按照招标文件中明确的评标方式进行技术标、商务标、综合标的评审。</w:t>
      </w:r>
    </w:p>
    <w:p w14:paraId="24C2EB2F">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详细评审标准</w:t>
      </w:r>
    </w:p>
    <w:tbl>
      <w:tblPr>
        <w:tblStyle w:val="26"/>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389"/>
        <w:gridCol w:w="2557"/>
        <w:gridCol w:w="5233"/>
      </w:tblGrid>
      <w:tr w14:paraId="371B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956" w:type="dxa"/>
            <w:gridSpan w:val="2"/>
            <w:noWrap w:val="0"/>
            <w:vAlign w:val="center"/>
          </w:tcPr>
          <w:p w14:paraId="4D388AE6">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c>
          <w:tcPr>
            <w:tcW w:w="2557" w:type="dxa"/>
            <w:noWrap w:val="0"/>
            <w:vAlign w:val="center"/>
          </w:tcPr>
          <w:p w14:paraId="26DA03EB">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分值构成</w:t>
            </w:r>
          </w:p>
          <w:p w14:paraId="05A3F075">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rPr>
              <w:t>总分10</w:t>
            </w:r>
            <w:r>
              <w:rPr>
                <w:rFonts w:hint="eastAsia" w:ascii="仿宋" w:hAnsi="仿宋" w:eastAsia="仿宋" w:cs="仿宋"/>
                <w:snapToGrid w:val="0"/>
                <w:color w:val="auto"/>
                <w:sz w:val="24"/>
                <w:szCs w:val="24"/>
                <w:highlight w:val="none"/>
                <w:lang w:val="en-US" w:eastAsia="zh-CN"/>
              </w:rPr>
              <w:t>1.5</w:t>
            </w:r>
            <w:r>
              <w:rPr>
                <w:rFonts w:hint="eastAsia" w:ascii="仿宋" w:hAnsi="仿宋" w:eastAsia="仿宋" w:cs="仿宋"/>
                <w:snapToGrid w:val="0"/>
                <w:color w:val="auto"/>
                <w:sz w:val="24"/>
                <w:szCs w:val="24"/>
                <w:highlight w:val="none"/>
              </w:rPr>
              <w:t>分</w:t>
            </w:r>
            <w:r>
              <w:rPr>
                <w:rFonts w:hint="eastAsia" w:ascii="仿宋" w:hAnsi="仿宋" w:eastAsia="仿宋" w:cs="仿宋"/>
                <w:snapToGrid w:val="0"/>
                <w:color w:val="auto"/>
                <w:sz w:val="24"/>
                <w:szCs w:val="24"/>
                <w:highlight w:val="none"/>
                <w:lang w:eastAsia="zh-CN"/>
              </w:rPr>
              <w:t>）</w:t>
            </w:r>
          </w:p>
        </w:tc>
        <w:tc>
          <w:tcPr>
            <w:tcW w:w="5233" w:type="dxa"/>
            <w:noWrap w:val="0"/>
            <w:vAlign w:val="top"/>
          </w:tcPr>
          <w:p w14:paraId="4736FB87">
            <w:pPr>
              <w:spacing w:line="360" w:lineRule="auto"/>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报价得分：</w:t>
            </w:r>
            <w:r>
              <w:rPr>
                <w:rFonts w:hint="eastAsia" w:ascii="仿宋" w:hAnsi="仿宋" w:eastAsia="仿宋" w:cs="仿宋"/>
                <w:snapToGrid w:val="0"/>
                <w:color w:val="auto"/>
                <w:sz w:val="24"/>
                <w:szCs w:val="24"/>
                <w:highlight w:val="none"/>
                <w:u w:val="single"/>
              </w:rPr>
              <w:t>3</w:t>
            </w:r>
            <w:r>
              <w:rPr>
                <w:rFonts w:hint="eastAsia" w:ascii="仿宋" w:hAnsi="仿宋" w:eastAsia="仿宋" w:cs="仿宋"/>
                <w:snapToGrid w:val="0"/>
                <w:color w:val="auto"/>
                <w:sz w:val="24"/>
                <w:szCs w:val="24"/>
                <w:highlight w:val="none"/>
                <w:u w:val="single"/>
                <w:lang w:val="en-US" w:eastAsia="zh-CN"/>
              </w:rPr>
              <w:t>1.5</w:t>
            </w:r>
            <w:r>
              <w:rPr>
                <w:rFonts w:hint="eastAsia" w:ascii="仿宋" w:hAnsi="仿宋" w:eastAsia="仿宋" w:cs="仿宋"/>
                <w:snapToGrid w:val="0"/>
                <w:color w:val="auto"/>
                <w:sz w:val="24"/>
                <w:szCs w:val="24"/>
                <w:highlight w:val="none"/>
              </w:rPr>
              <w:t>分</w:t>
            </w:r>
          </w:p>
          <w:p w14:paraId="425AE168">
            <w:pPr>
              <w:spacing w:line="360" w:lineRule="auto"/>
              <w:ind w:firstLine="480" w:firstLineChars="200"/>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技术部分：</w:t>
            </w:r>
            <w:r>
              <w:rPr>
                <w:rFonts w:hint="eastAsia" w:ascii="仿宋" w:hAnsi="仿宋" w:eastAsia="仿宋" w:cs="仿宋"/>
                <w:snapToGrid w:val="0"/>
                <w:color w:val="auto"/>
                <w:sz w:val="24"/>
                <w:szCs w:val="24"/>
                <w:highlight w:val="none"/>
                <w:u w:val="single"/>
                <w:lang w:val="en-US" w:eastAsia="zh-CN"/>
              </w:rPr>
              <w:t>55</w:t>
            </w:r>
            <w:r>
              <w:rPr>
                <w:rFonts w:hint="eastAsia" w:ascii="仿宋" w:hAnsi="仿宋" w:eastAsia="仿宋" w:cs="仿宋"/>
                <w:snapToGrid w:val="0"/>
                <w:color w:val="auto"/>
                <w:sz w:val="24"/>
                <w:szCs w:val="24"/>
                <w:highlight w:val="none"/>
              </w:rPr>
              <w:t>分</w:t>
            </w:r>
          </w:p>
          <w:p w14:paraId="5B62B1C9">
            <w:pPr>
              <w:spacing w:line="360" w:lineRule="auto"/>
              <w:ind w:firstLine="480" w:firstLineChars="200"/>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综合标部分：</w:t>
            </w:r>
            <w:r>
              <w:rPr>
                <w:rFonts w:hint="eastAsia" w:ascii="仿宋" w:hAnsi="仿宋" w:eastAsia="仿宋" w:cs="仿宋"/>
                <w:snapToGrid w:val="0"/>
                <w:color w:val="auto"/>
                <w:sz w:val="24"/>
                <w:szCs w:val="24"/>
                <w:highlight w:val="none"/>
                <w:u w:val="single"/>
                <w:lang w:val="en-US" w:eastAsia="zh-CN"/>
              </w:rPr>
              <w:t>15</w:t>
            </w:r>
            <w:r>
              <w:rPr>
                <w:rFonts w:hint="eastAsia" w:ascii="仿宋" w:hAnsi="仿宋" w:eastAsia="仿宋" w:cs="仿宋"/>
                <w:snapToGrid w:val="0"/>
                <w:color w:val="auto"/>
                <w:sz w:val="24"/>
                <w:szCs w:val="24"/>
                <w:highlight w:val="none"/>
              </w:rPr>
              <w:t>分</w:t>
            </w:r>
          </w:p>
        </w:tc>
      </w:tr>
      <w:tr w14:paraId="4F5B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956" w:type="dxa"/>
            <w:gridSpan w:val="2"/>
            <w:noWrap w:val="0"/>
            <w:vAlign w:val="center"/>
          </w:tcPr>
          <w:p w14:paraId="51B3BDC7">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c>
          <w:tcPr>
            <w:tcW w:w="2557" w:type="dxa"/>
            <w:noWrap w:val="0"/>
            <w:vAlign w:val="center"/>
          </w:tcPr>
          <w:p w14:paraId="43D845A1">
            <w:pPr>
              <w:spacing w:line="360" w:lineRule="auto"/>
              <w:ind w:firstLine="480" w:firstLineChars="200"/>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评标</w:t>
            </w:r>
            <w:r>
              <w:rPr>
                <w:rFonts w:hint="eastAsia" w:ascii="仿宋" w:hAnsi="仿宋" w:eastAsia="仿宋" w:cs="仿宋"/>
                <w:snapToGrid w:val="0"/>
                <w:color w:val="auto"/>
                <w:sz w:val="24"/>
                <w:szCs w:val="24"/>
                <w:highlight w:val="none"/>
                <w:lang w:eastAsia="zh-CN"/>
              </w:rPr>
              <w:t>基准价</w:t>
            </w:r>
            <w:r>
              <w:rPr>
                <w:rFonts w:hint="eastAsia" w:ascii="仿宋" w:hAnsi="仿宋" w:eastAsia="仿宋" w:cs="仿宋"/>
                <w:snapToGrid w:val="0"/>
                <w:color w:val="auto"/>
                <w:sz w:val="24"/>
                <w:szCs w:val="24"/>
                <w:highlight w:val="none"/>
              </w:rPr>
              <w:t>计算方法</w:t>
            </w:r>
          </w:p>
        </w:tc>
        <w:tc>
          <w:tcPr>
            <w:tcW w:w="5233" w:type="dxa"/>
            <w:noWrap w:val="0"/>
            <w:vAlign w:val="center"/>
          </w:tcPr>
          <w:p w14:paraId="4371B80E">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评标基准价的确定：</w:t>
            </w:r>
          </w:p>
          <w:p w14:paraId="10126DCF">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评标基准价=A*50%+B*50% </w:t>
            </w:r>
          </w:p>
          <w:p w14:paraId="74C0C918">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A=招标控制价</w:t>
            </w:r>
          </w:p>
          <w:p w14:paraId="63F295B6">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B=所有有效投标人投标报价的算术平均值；</w:t>
            </w:r>
          </w:p>
          <w:p w14:paraId="19191FE5">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当有效投标人多于 5 家（含 5 家）时去掉一个最高和一个最低投标报价后的算术平均值。当有效投标少于 5 家时，则以所有有效投标报价的算术平均值作为 B 值。</w:t>
            </w:r>
          </w:p>
        </w:tc>
      </w:tr>
      <w:tr w14:paraId="06EA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956" w:type="dxa"/>
            <w:gridSpan w:val="2"/>
            <w:noWrap w:val="0"/>
            <w:vAlign w:val="center"/>
          </w:tcPr>
          <w:p w14:paraId="4B436AAE">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p>
        </w:tc>
        <w:tc>
          <w:tcPr>
            <w:tcW w:w="2557" w:type="dxa"/>
            <w:noWrap w:val="0"/>
            <w:vAlign w:val="center"/>
          </w:tcPr>
          <w:p w14:paraId="0637D385">
            <w:pPr>
              <w:spacing w:line="360" w:lineRule="auto"/>
              <w:ind w:firstLine="480" w:firstLineChars="200"/>
              <w:rPr>
                <w:rFonts w:hint="eastAsia" w:ascii="仿宋" w:hAnsi="仿宋" w:eastAsia="仿宋" w:cs="仿宋"/>
                <w:snapToGrid w:val="0"/>
                <w:color w:val="auto"/>
                <w:sz w:val="24"/>
                <w:szCs w:val="24"/>
                <w:highlight w:val="none"/>
                <w:lang w:eastAsia="zh-CN"/>
              </w:rPr>
            </w:pPr>
            <w:r>
              <w:rPr>
                <w:rFonts w:hint="eastAsia" w:ascii="仿宋" w:hAnsi="仿宋" w:eastAsia="仿宋" w:cs="仿宋"/>
                <w:snapToGrid w:val="0"/>
                <w:color w:val="auto"/>
                <w:sz w:val="24"/>
                <w:szCs w:val="24"/>
                <w:highlight w:val="none"/>
                <w:lang w:val="en-US" w:eastAsia="zh-CN"/>
              </w:rPr>
              <w:t>偏差率</w:t>
            </w:r>
          </w:p>
        </w:tc>
        <w:tc>
          <w:tcPr>
            <w:tcW w:w="5233" w:type="dxa"/>
            <w:noWrap w:val="0"/>
            <w:vAlign w:val="center"/>
          </w:tcPr>
          <w:p w14:paraId="04DF3942">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偏差率= (投标人报价-评标基准价) / 评标基准价×100%</w:t>
            </w:r>
          </w:p>
        </w:tc>
      </w:tr>
      <w:tr w14:paraId="3763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6" w:type="dxa"/>
            <w:gridSpan w:val="2"/>
            <w:noWrap w:val="0"/>
            <w:vAlign w:val="center"/>
          </w:tcPr>
          <w:p w14:paraId="1C7A7C18">
            <w:pPr>
              <w:spacing w:line="360" w:lineRule="auto"/>
              <w:jc w:val="center"/>
              <w:rPr>
                <w:rFonts w:hint="eastAsia" w:ascii="仿宋" w:hAnsi="仿宋" w:eastAsia="仿宋" w:cs="仿宋"/>
                <w:b/>
                <w:bCs/>
                <w:snapToGrid w:val="0"/>
                <w:color w:val="auto"/>
                <w:sz w:val="24"/>
                <w:szCs w:val="24"/>
                <w:highlight w:val="none"/>
              </w:rPr>
            </w:pPr>
            <w:r>
              <w:rPr>
                <w:rFonts w:hint="eastAsia" w:ascii="仿宋" w:hAnsi="仿宋" w:eastAsia="仿宋" w:cs="仿宋"/>
                <w:b/>
                <w:bCs/>
                <w:snapToGrid w:val="0"/>
                <w:color w:val="auto"/>
                <w:sz w:val="24"/>
                <w:szCs w:val="24"/>
                <w:highlight w:val="none"/>
              </w:rPr>
              <w:t>条款号</w:t>
            </w:r>
          </w:p>
        </w:tc>
        <w:tc>
          <w:tcPr>
            <w:tcW w:w="2557" w:type="dxa"/>
            <w:noWrap w:val="0"/>
            <w:vAlign w:val="center"/>
          </w:tcPr>
          <w:p w14:paraId="2D5A10DA">
            <w:pPr>
              <w:spacing w:line="360" w:lineRule="auto"/>
              <w:ind w:firstLine="843" w:firstLineChars="350"/>
              <w:rPr>
                <w:rFonts w:hint="eastAsia" w:ascii="仿宋" w:hAnsi="仿宋" w:eastAsia="仿宋" w:cs="仿宋"/>
                <w:b/>
                <w:bCs/>
                <w:snapToGrid w:val="0"/>
                <w:color w:val="auto"/>
                <w:sz w:val="24"/>
                <w:szCs w:val="24"/>
                <w:highlight w:val="none"/>
              </w:rPr>
            </w:pPr>
            <w:r>
              <w:rPr>
                <w:rFonts w:hint="eastAsia" w:ascii="仿宋" w:hAnsi="仿宋" w:eastAsia="仿宋" w:cs="仿宋"/>
                <w:b/>
                <w:bCs/>
                <w:snapToGrid w:val="0"/>
                <w:color w:val="auto"/>
                <w:sz w:val="24"/>
                <w:szCs w:val="24"/>
                <w:highlight w:val="none"/>
              </w:rPr>
              <w:t>评分因素</w:t>
            </w:r>
          </w:p>
        </w:tc>
        <w:tc>
          <w:tcPr>
            <w:tcW w:w="5233" w:type="dxa"/>
            <w:noWrap w:val="0"/>
            <w:vAlign w:val="center"/>
          </w:tcPr>
          <w:p w14:paraId="66CD3637">
            <w:pPr>
              <w:spacing w:line="360" w:lineRule="auto"/>
              <w:jc w:val="center"/>
              <w:rPr>
                <w:rFonts w:hint="eastAsia" w:ascii="仿宋" w:hAnsi="仿宋" w:eastAsia="仿宋" w:cs="仿宋"/>
                <w:b/>
                <w:bCs/>
                <w:snapToGrid w:val="0"/>
                <w:color w:val="auto"/>
                <w:sz w:val="24"/>
                <w:szCs w:val="24"/>
                <w:highlight w:val="none"/>
              </w:rPr>
            </w:pPr>
            <w:r>
              <w:rPr>
                <w:rFonts w:hint="eastAsia" w:ascii="仿宋" w:hAnsi="仿宋" w:eastAsia="仿宋" w:cs="仿宋"/>
                <w:b/>
                <w:bCs/>
                <w:snapToGrid w:val="0"/>
                <w:color w:val="auto"/>
                <w:sz w:val="24"/>
                <w:szCs w:val="24"/>
                <w:highlight w:val="none"/>
              </w:rPr>
              <w:t>评分标准</w:t>
            </w:r>
          </w:p>
        </w:tc>
      </w:tr>
      <w:tr w14:paraId="58FA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567" w:type="dxa"/>
            <w:vMerge w:val="restart"/>
            <w:noWrap w:val="0"/>
            <w:vAlign w:val="center"/>
          </w:tcPr>
          <w:p w14:paraId="218C9D26">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c>
          <w:tcPr>
            <w:tcW w:w="1389" w:type="dxa"/>
            <w:vMerge w:val="restart"/>
            <w:noWrap w:val="0"/>
            <w:vAlign w:val="center"/>
          </w:tcPr>
          <w:p w14:paraId="23AE42B9">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报价部分</w:t>
            </w:r>
          </w:p>
          <w:p w14:paraId="138D3522">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r>
              <w:rPr>
                <w:rFonts w:hint="eastAsia" w:ascii="仿宋" w:hAnsi="仿宋" w:eastAsia="仿宋" w:cs="仿宋"/>
                <w:snapToGrid w:val="0"/>
                <w:color w:val="auto"/>
                <w:sz w:val="24"/>
                <w:szCs w:val="24"/>
                <w:highlight w:val="none"/>
                <w:lang w:val="en-US" w:eastAsia="zh-CN"/>
              </w:rPr>
              <w:t>1.5</w:t>
            </w:r>
            <w:r>
              <w:rPr>
                <w:rFonts w:hint="eastAsia" w:ascii="仿宋" w:hAnsi="仿宋" w:eastAsia="仿宋" w:cs="仿宋"/>
                <w:snapToGrid w:val="0"/>
                <w:color w:val="auto"/>
                <w:sz w:val="24"/>
                <w:szCs w:val="24"/>
                <w:highlight w:val="none"/>
              </w:rPr>
              <w:t>分）</w:t>
            </w:r>
          </w:p>
        </w:tc>
        <w:tc>
          <w:tcPr>
            <w:tcW w:w="2557" w:type="dxa"/>
            <w:noWrap w:val="0"/>
            <w:vAlign w:val="center"/>
          </w:tcPr>
          <w:p w14:paraId="6BBF85CE">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投标报价得分</w:t>
            </w:r>
          </w:p>
          <w:p w14:paraId="0E8B2B3D">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（30分）</w:t>
            </w:r>
          </w:p>
        </w:tc>
        <w:tc>
          <w:tcPr>
            <w:tcW w:w="5233" w:type="dxa"/>
            <w:noWrap w:val="0"/>
            <w:vAlign w:val="top"/>
          </w:tcPr>
          <w:p w14:paraId="614D259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有效投标人的投标报价与评标基准价相等得 </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 xml:space="preserve"> 分。投标报价与评标基准价相比，每低 1%在 </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 xml:space="preserve"> 分的基础上扣 1 分， 扣完为止，每高 1%在 </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分的基础上扣 2 分，扣完为止（计分精确至小数点后第 2 位）。</w:t>
            </w:r>
          </w:p>
        </w:tc>
      </w:tr>
      <w:tr w14:paraId="0583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567" w:type="dxa"/>
            <w:vMerge w:val="continue"/>
            <w:noWrap w:val="0"/>
            <w:vAlign w:val="center"/>
          </w:tcPr>
          <w:p w14:paraId="30178766">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56F5F1CE">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7D47C9F5">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小微企业投标报价得分</w:t>
            </w:r>
          </w:p>
          <w:p w14:paraId="13B86823">
            <w:pPr>
              <w:spacing w:line="360" w:lineRule="auto"/>
              <w:jc w:val="center"/>
              <w:rPr>
                <w:rFonts w:hint="eastAsia" w:ascii="仿宋" w:hAnsi="仿宋" w:eastAsia="仿宋" w:cs="仿宋"/>
                <w:snapToGrid w:val="0"/>
                <w:color w:val="auto"/>
                <w:sz w:val="24"/>
                <w:szCs w:val="24"/>
                <w:highlight w:val="none"/>
                <w:lang w:eastAsia="zh-CN"/>
              </w:rPr>
            </w:pP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lang w:val="en-US" w:eastAsia="zh-CN"/>
              </w:rPr>
              <w:t>1.5分</w:t>
            </w:r>
            <w:r>
              <w:rPr>
                <w:rFonts w:hint="eastAsia" w:ascii="仿宋" w:hAnsi="仿宋" w:eastAsia="仿宋" w:cs="仿宋"/>
                <w:snapToGrid w:val="0"/>
                <w:color w:val="auto"/>
                <w:sz w:val="24"/>
                <w:szCs w:val="24"/>
                <w:highlight w:val="none"/>
                <w:lang w:eastAsia="zh-CN"/>
              </w:rPr>
              <w:t>）</w:t>
            </w:r>
          </w:p>
        </w:tc>
        <w:tc>
          <w:tcPr>
            <w:tcW w:w="5233" w:type="dxa"/>
            <w:noWrap w:val="0"/>
            <w:vAlign w:val="top"/>
          </w:tcPr>
          <w:p w14:paraId="08FA286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依据洛财购【2021】1号</w:t>
            </w:r>
            <w:r>
              <w:rPr>
                <w:rFonts w:hint="eastAsia" w:ascii="仿宋" w:hAnsi="仿宋" w:eastAsia="仿宋" w:cs="仿宋"/>
                <w:color w:val="auto"/>
                <w:sz w:val="24"/>
                <w:szCs w:val="24"/>
                <w:highlight w:val="none"/>
                <w:lang w:eastAsia="zh-CN"/>
              </w:rPr>
              <w:t>及洛财购【202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号</w:t>
            </w:r>
            <w:r>
              <w:rPr>
                <w:rFonts w:hint="eastAsia" w:ascii="仿宋" w:hAnsi="仿宋" w:eastAsia="仿宋" w:cs="仿宋"/>
                <w:color w:val="auto"/>
                <w:sz w:val="24"/>
                <w:szCs w:val="24"/>
                <w:highlight w:val="none"/>
              </w:rPr>
              <w:t>文件精神，根据财政部工业和信息化部《政府采购促进中小企业发展管理办法》（财库〔2020〕46号）的规定：</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为小微企业</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监狱企业或残疾人福利性单位的，评标时应当在采用原报价进行评分的基础上增加其价格得分的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%作为其价格分。计算公式如下：</w:t>
            </w:r>
          </w:p>
          <w:p w14:paraId="6A9C3439">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小微企业投标报价得分=采用原报价评审得分×5%。</w:t>
            </w:r>
          </w:p>
          <w:p w14:paraId="76FA113B">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注：1、小微企业参加政府采购活动，应当如实出具招标文件规定格式的《中小企业声明函》，否则不得享受相关中小企业扶持政策；</w:t>
            </w:r>
          </w:p>
          <w:p w14:paraId="79843519">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2、提供声明函内容不实的，属于弄虚作假骗取中标，依照《中华人民共和国招标投标法》等国家有关规定追究相应责任。</w:t>
            </w:r>
          </w:p>
        </w:tc>
      </w:tr>
      <w:tr w14:paraId="026D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Merge w:val="restart"/>
            <w:noWrap w:val="0"/>
            <w:vAlign w:val="center"/>
          </w:tcPr>
          <w:p w14:paraId="09F9A9EE">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c>
          <w:tcPr>
            <w:tcW w:w="1389" w:type="dxa"/>
            <w:vMerge w:val="restart"/>
            <w:noWrap w:val="0"/>
            <w:vAlign w:val="center"/>
          </w:tcPr>
          <w:p w14:paraId="123A0938">
            <w:pPr>
              <w:spacing w:line="360" w:lineRule="auto"/>
              <w:jc w:val="center"/>
              <w:rPr>
                <w:rFonts w:hint="eastAsia" w:ascii="仿宋" w:hAnsi="仿宋" w:eastAsia="仿宋" w:cs="仿宋"/>
                <w:color w:val="auto"/>
                <w:spacing w:val="14"/>
                <w:sz w:val="24"/>
                <w:szCs w:val="24"/>
                <w:highlight w:val="none"/>
                <w:lang w:val="en-US" w:eastAsia="zh-CN" w:bidi="ar-SA"/>
              </w:rPr>
            </w:pPr>
            <w:r>
              <w:rPr>
                <w:rFonts w:hint="eastAsia" w:ascii="仿宋" w:hAnsi="仿宋" w:eastAsia="仿宋" w:cs="仿宋"/>
                <w:color w:val="auto"/>
                <w:spacing w:val="14"/>
                <w:sz w:val="24"/>
                <w:szCs w:val="24"/>
                <w:highlight w:val="none"/>
                <w:lang w:val="en-US" w:eastAsia="zh-CN" w:bidi="ar-SA"/>
              </w:rPr>
              <w:t>技术部分</w:t>
            </w:r>
          </w:p>
          <w:p w14:paraId="52350781">
            <w:pPr>
              <w:spacing w:line="360" w:lineRule="auto"/>
              <w:jc w:val="center"/>
              <w:rPr>
                <w:rFonts w:hint="eastAsia" w:ascii="仿宋" w:hAnsi="仿宋" w:eastAsia="仿宋" w:cs="仿宋"/>
                <w:color w:val="auto"/>
                <w:spacing w:val="14"/>
                <w:sz w:val="24"/>
                <w:szCs w:val="24"/>
                <w:highlight w:val="none"/>
                <w:lang w:val="en-US" w:eastAsia="zh-CN" w:bidi="ar-SA"/>
              </w:rPr>
            </w:pPr>
            <w:r>
              <w:rPr>
                <w:rFonts w:hint="eastAsia" w:ascii="仿宋" w:hAnsi="仿宋" w:eastAsia="仿宋" w:cs="仿宋"/>
                <w:color w:val="auto"/>
                <w:spacing w:val="14"/>
                <w:sz w:val="24"/>
                <w:szCs w:val="24"/>
                <w:highlight w:val="none"/>
                <w:lang w:val="en-US" w:eastAsia="zh-CN" w:bidi="ar-SA"/>
              </w:rPr>
              <w:t>（55分）</w:t>
            </w:r>
          </w:p>
          <w:p w14:paraId="100397AF">
            <w:pPr>
              <w:spacing w:line="360" w:lineRule="auto"/>
              <w:jc w:val="center"/>
              <w:rPr>
                <w:rFonts w:hint="eastAsia" w:ascii="仿宋" w:hAnsi="仿宋" w:eastAsia="仿宋" w:cs="仿宋"/>
                <w:color w:val="auto"/>
                <w:spacing w:val="14"/>
                <w:sz w:val="24"/>
                <w:szCs w:val="24"/>
                <w:highlight w:val="none"/>
                <w:lang w:val="en-US" w:eastAsia="zh-CN" w:bidi="ar-SA"/>
              </w:rPr>
            </w:pPr>
            <w:r>
              <w:rPr>
                <w:rFonts w:hint="eastAsia" w:ascii="仿宋" w:hAnsi="仿宋" w:eastAsia="仿宋" w:cs="仿宋"/>
                <w:color w:val="auto"/>
                <w:spacing w:val="14"/>
                <w:sz w:val="24"/>
                <w:szCs w:val="24"/>
                <w:highlight w:val="none"/>
                <w:lang w:val="en-US" w:eastAsia="zh-CN" w:bidi="ar-SA"/>
              </w:rPr>
              <w:t>暗标部分</w:t>
            </w:r>
          </w:p>
        </w:tc>
        <w:tc>
          <w:tcPr>
            <w:tcW w:w="2557" w:type="dxa"/>
            <w:noWrap w:val="0"/>
            <w:vAlign w:val="center"/>
          </w:tcPr>
          <w:p w14:paraId="48A29AF5">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主要施工方案与技术措施</w:t>
            </w:r>
          </w:p>
          <w:p w14:paraId="7D1C4789">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03B5FD41">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包括工程概况、工程主要情况、施工条件、施工准备、施工措施、季节性施工等专项工程的技术措施（内容详实完整，针对性强得5分；内容详实基本完整，针对性较强得4分；内容完整，针对性一般得3分；内容完整，针对性低得2分；内容不完整得1分；未针对本项目描述的得0分。）</w:t>
            </w:r>
          </w:p>
        </w:tc>
      </w:tr>
      <w:tr w14:paraId="2107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06B361F0">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47EC1D02">
            <w:pPr>
              <w:spacing w:line="360" w:lineRule="auto"/>
              <w:jc w:val="center"/>
              <w:rPr>
                <w:rFonts w:hint="eastAsia" w:ascii="仿宋" w:hAnsi="仿宋" w:eastAsia="仿宋" w:cs="仿宋"/>
                <w:color w:val="auto"/>
                <w:spacing w:val="14"/>
                <w:sz w:val="24"/>
                <w:szCs w:val="24"/>
                <w:highlight w:val="none"/>
                <w:lang w:val="en-US" w:eastAsia="zh-CN" w:bidi="ar-SA"/>
              </w:rPr>
            </w:pPr>
          </w:p>
        </w:tc>
        <w:tc>
          <w:tcPr>
            <w:tcW w:w="2557" w:type="dxa"/>
            <w:noWrap w:val="0"/>
            <w:vAlign w:val="center"/>
          </w:tcPr>
          <w:p w14:paraId="60E13441">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质量管理体系与措施</w:t>
            </w:r>
          </w:p>
          <w:p w14:paraId="7A6CC19A">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1AA6B059">
            <w:pPr>
              <w:jc w:val="left"/>
              <w:rPr>
                <w:rFonts w:hint="eastAsia" w:ascii="仿宋" w:hAnsi="仿宋" w:eastAsia="仿宋" w:cs="仿宋"/>
                <w:color w:val="auto"/>
                <w:spacing w:val="14"/>
                <w:sz w:val="24"/>
                <w:szCs w:val="24"/>
                <w:highlight w:val="none"/>
                <w:lang w:val="zh-CN"/>
              </w:rPr>
            </w:pPr>
            <w:r>
              <w:rPr>
                <w:rFonts w:hint="eastAsia" w:ascii="仿宋" w:hAnsi="仿宋" w:eastAsia="仿宋" w:cs="仿宋"/>
                <w:color w:val="auto"/>
                <w:spacing w:val="30"/>
                <w:sz w:val="24"/>
                <w:szCs w:val="24"/>
                <w:highlight w:val="none"/>
              </w:rPr>
              <w:t>根据质量管理的组织机构及职责、项目质量目标、制度及保障措施、建立项目建设过程质量检查制度，制定纠正和预防措施等方面进行打分（内容详实完整，针对性强得5分；内容详实基本完整，针对性较强得4分；内容完整，针对性一般得3分；内容完整，针对性低得2分；内容不完整得1分；未针对本项目描述的得0分。）</w:t>
            </w:r>
          </w:p>
        </w:tc>
      </w:tr>
      <w:tr w14:paraId="2D49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095BCE57">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6F556829">
            <w:pPr>
              <w:spacing w:line="360" w:lineRule="auto"/>
              <w:jc w:val="center"/>
              <w:rPr>
                <w:rFonts w:hint="eastAsia" w:ascii="仿宋" w:hAnsi="仿宋" w:eastAsia="仿宋" w:cs="仿宋"/>
                <w:color w:val="auto"/>
                <w:spacing w:val="14"/>
                <w:sz w:val="24"/>
                <w:szCs w:val="24"/>
                <w:highlight w:val="none"/>
                <w:lang w:val="en-US" w:eastAsia="zh-CN" w:bidi="ar-SA"/>
              </w:rPr>
            </w:pPr>
          </w:p>
        </w:tc>
        <w:tc>
          <w:tcPr>
            <w:tcW w:w="2557" w:type="dxa"/>
            <w:noWrap w:val="0"/>
            <w:vAlign w:val="center"/>
          </w:tcPr>
          <w:p w14:paraId="7E8DEAE6">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安全管理体系与措施</w:t>
            </w:r>
          </w:p>
          <w:p w14:paraId="279EB6D7">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6405368E">
            <w:pPr>
              <w:jc w:val="left"/>
              <w:rPr>
                <w:rFonts w:hint="eastAsia" w:ascii="仿宋" w:hAnsi="仿宋" w:eastAsia="仿宋" w:cs="仿宋"/>
                <w:color w:val="auto"/>
                <w:spacing w:val="14"/>
                <w:sz w:val="24"/>
                <w:szCs w:val="24"/>
                <w:highlight w:val="none"/>
                <w:lang w:val="zh-CN"/>
              </w:rPr>
            </w:pPr>
            <w:r>
              <w:rPr>
                <w:rFonts w:hint="eastAsia" w:ascii="仿宋" w:hAnsi="仿宋" w:eastAsia="仿宋" w:cs="仿宋"/>
                <w:color w:val="auto"/>
                <w:spacing w:val="30"/>
                <w:sz w:val="24"/>
                <w:szCs w:val="24"/>
                <w:highlight w:val="none"/>
              </w:rPr>
              <w:t>根据安全生产的组织机构及职责、安全生产管理目标、制度与措施、安全事故应急救援预案、安全控制措施和应急预案等方面进行打分（内容详实完整，针对性强得5分；内容详实基本完整，针对性较强得4分；内容完整，针对性一般得3分；内容完整，针对性低得2分；内容不完整得1分；未针对本项目描述的得0分。）</w:t>
            </w:r>
          </w:p>
        </w:tc>
      </w:tr>
      <w:tr w14:paraId="710F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72BACB24">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3568C287">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2BD9E93B">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文明施工、环境保护管理体系及施工现场扬尘治理措施</w:t>
            </w:r>
          </w:p>
          <w:p w14:paraId="328A98A4">
            <w:pPr>
              <w:pStyle w:val="31"/>
              <w:jc w:val="center"/>
              <w:rPr>
                <w:rFonts w:hint="eastAsia" w:ascii="仿宋" w:hAnsi="仿宋" w:eastAsia="仿宋" w:cs="仿宋"/>
                <w:color w:val="auto"/>
                <w:sz w:val="24"/>
                <w:szCs w:val="24"/>
                <w:highlight w:val="none"/>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730001FD">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根据文明施工、环境保护管理组织机构及职责、创建安全文明标准化工地目标及计划、文明施工管理措施、扬尘污染防治方案及垃圾处置方案等方面进行打分（内容详实完整，针对性强得5分；内容详实基本完整，针对性较强得4分；内容完整，针对性一般得3分；内容完整，针对性低得2分；内容不完整得1分；未针对本项目描述的得0分。）</w:t>
            </w:r>
          </w:p>
        </w:tc>
      </w:tr>
      <w:tr w14:paraId="2349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105FE4CF">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6CB1C242">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0657FB66">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工期保证措施</w:t>
            </w:r>
          </w:p>
          <w:p w14:paraId="13512229">
            <w:pPr>
              <w:pStyle w:val="31"/>
              <w:jc w:val="center"/>
              <w:rPr>
                <w:rFonts w:hint="eastAsia" w:ascii="仿宋" w:hAnsi="仿宋" w:eastAsia="仿宋" w:cs="仿宋"/>
                <w:color w:val="auto"/>
                <w:sz w:val="24"/>
                <w:szCs w:val="24"/>
                <w:highlight w:val="none"/>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62FEF704">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根据确保工期的技术组织措施、交叉流水施工作业方案，合理调配机械、材料、劳动力等方面进行打分（内容详实完整，针对性强得5分；内容详实基本完整，针对性较强得4分；内容完整，针对性一般得3分；内容完整，针对性低得2分；内容不完整得1分；未针对本项目描述的得0分。）</w:t>
            </w:r>
          </w:p>
        </w:tc>
      </w:tr>
      <w:tr w14:paraId="3335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1E49E8F7">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3F1A8558">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32241267">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拟投入资源配备计划</w:t>
            </w:r>
          </w:p>
          <w:p w14:paraId="32C5CA07">
            <w:pPr>
              <w:pStyle w:val="31"/>
              <w:jc w:val="center"/>
              <w:rPr>
                <w:rFonts w:hint="eastAsia" w:ascii="仿宋" w:hAnsi="仿宋" w:eastAsia="仿宋" w:cs="仿宋"/>
                <w:color w:val="auto"/>
                <w:sz w:val="24"/>
                <w:szCs w:val="24"/>
                <w:highlight w:val="none"/>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25200B29">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根据拟投资本工程的机械、劳动力和主要物资计划等方面进行打分（内容详实完整，针对性强得5分；内容详实基本完整，针对性较强得4分；内容完整，针对性一般得3分；内容完整，针对性低得2分；内容不完整得1分；未针对本项目描述的得0分。）</w:t>
            </w:r>
          </w:p>
        </w:tc>
      </w:tr>
      <w:tr w14:paraId="729A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5208E22D">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3A39C7A6">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7E55FEE3">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施工总进度表或施工网络图</w:t>
            </w:r>
          </w:p>
          <w:p w14:paraId="23E19F29">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1B2CD3A6">
            <w:pPr>
              <w:jc w:val="left"/>
              <w:rPr>
                <w:rFonts w:hint="eastAsia" w:ascii="仿宋" w:hAnsi="仿宋" w:eastAsia="仿宋" w:cs="仿宋"/>
                <w:color w:val="auto"/>
                <w:spacing w:val="14"/>
                <w:sz w:val="24"/>
                <w:szCs w:val="24"/>
                <w:highlight w:val="none"/>
                <w:lang w:val="en-US" w:eastAsia="zh-CN"/>
              </w:rPr>
            </w:pPr>
            <w:r>
              <w:rPr>
                <w:rFonts w:hint="eastAsia" w:ascii="仿宋" w:hAnsi="仿宋" w:eastAsia="仿宋" w:cs="仿宋"/>
                <w:color w:val="auto"/>
                <w:spacing w:val="30"/>
                <w:sz w:val="24"/>
                <w:szCs w:val="24"/>
                <w:highlight w:val="none"/>
              </w:rPr>
              <w:t>根据对总体进度计划、施工总进度表或施工网络图的关键线路、关键节点及中间完工项目施工进度计划、施工强度等方面进行打分（内容详实完整，针对性强得5分；内容详实基本完整，针对性较强得4分；内容完整，针对性一般得3分；内容完整，针对性低得2分；内容不完整得1分；未针对本项目描述的得0分。）</w:t>
            </w:r>
          </w:p>
        </w:tc>
      </w:tr>
      <w:tr w14:paraId="029D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top"/>
          </w:tcPr>
          <w:p w14:paraId="085A4E4B">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4B06C09A">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7E5ECD95">
            <w:pPr>
              <w:jc w:val="center"/>
              <w:rPr>
                <w:rFonts w:hint="eastAsia" w:ascii="仿宋" w:hAnsi="仿宋" w:eastAsia="仿宋" w:cs="仿宋"/>
                <w:color w:val="auto"/>
                <w:spacing w:val="30"/>
                <w:sz w:val="24"/>
                <w:szCs w:val="24"/>
                <w:highlight w:val="none"/>
                <w:lang w:val="en-US" w:eastAsia="en-US"/>
              </w:rPr>
            </w:pPr>
            <w:r>
              <w:rPr>
                <w:rFonts w:hint="eastAsia" w:ascii="仿宋" w:hAnsi="仿宋" w:eastAsia="仿宋" w:cs="仿宋"/>
                <w:color w:val="auto"/>
                <w:spacing w:val="30"/>
                <w:sz w:val="24"/>
                <w:szCs w:val="24"/>
                <w:highlight w:val="none"/>
                <w:lang w:val="en-US" w:eastAsia="en-US"/>
              </w:rPr>
              <w:t>技术创新的应用实施措施</w:t>
            </w:r>
          </w:p>
          <w:p w14:paraId="726C4862">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58D7245E">
            <w:pPr>
              <w:jc w:val="left"/>
              <w:rPr>
                <w:rFonts w:hint="eastAsia" w:ascii="仿宋" w:hAnsi="仿宋" w:eastAsia="仿宋" w:cs="仿宋"/>
                <w:color w:val="auto"/>
                <w:spacing w:val="14"/>
                <w:sz w:val="24"/>
                <w:szCs w:val="24"/>
                <w:highlight w:val="none"/>
                <w:lang w:val="en-US" w:eastAsia="zh-CN"/>
              </w:rPr>
            </w:pPr>
            <w:r>
              <w:rPr>
                <w:rFonts w:hint="eastAsia" w:ascii="仿宋" w:hAnsi="仿宋" w:eastAsia="仿宋" w:cs="仿宋"/>
                <w:color w:val="auto"/>
                <w:spacing w:val="30"/>
                <w:sz w:val="24"/>
                <w:szCs w:val="24"/>
                <w:highlight w:val="none"/>
              </w:rPr>
              <w:t>技术创新的应用实施措施（内容详实完整，针对性强得</w:t>
            </w:r>
            <w:r>
              <w:rPr>
                <w:rFonts w:hint="eastAsia" w:ascii="仿宋" w:hAnsi="仿宋" w:eastAsia="仿宋" w:cs="仿宋"/>
                <w:color w:val="auto"/>
                <w:spacing w:val="30"/>
                <w:sz w:val="24"/>
                <w:szCs w:val="24"/>
                <w:highlight w:val="none"/>
                <w:lang w:val="en-US" w:eastAsia="zh-CN"/>
              </w:rPr>
              <w:t>5</w:t>
            </w:r>
            <w:r>
              <w:rPr>
                <w:rFonts w:hint="eastAsia" w:ascii="仿宋" w:hAnsi="仿宋" w:eastAsia="仿宋" w:cs="仿宋"/>
                <w:color w:val="auto"/>
                <w:spacing w:val="30"/>
                <w:sz w:val="24"/>
                <w:szCs w:val="24"/>
                <w:highlight w:val="none"/>
              </w:rPr>
              <w:t>分；内容详实基本完整，针对性较强得</w:t>
            </w:r>
            <w:r>
              <w:rPr>
                <w:rFonts w:hint="eastAsia" w:ascii="仿宋" w:hAnsi="仿宋" w:eastAsia="仿宋" w:cs="仿宋"/>
                <w:color w:val="auto"/>
                <w:spacing w:val="30"/>
                <w:sz w:val="24"/>
                <w:szCs w:val="24"/>
                <w:highlight w:val="none"/>
                <w:lang w:val="en-US" w:eastAsia="zh-CN"/>
              </w:rPr>
              <w:t>4</w:t>
            </w:r>
            <w:r>
              <w:rPr>
                <w:rFonts w:hint="eastAsia" w:ascii="仿宋" w:hAnsi="仿宋" w:eastAsia="仿宋" w:cs="仿宋"/>
                <w:color w:val="auto"/>
                <w:spacing w:val="30"/>
                <w:sz w:val="24"/>
                <w:szCs w:val="24"/>
                <w:highlight w:val="none"/>
              </w:rPr>
              <w:t>分；内容完整，针对性一般得</w:t>
            </w:r>
            <w:r>
              <w:rPr>
                <w:rFonts w:hint="eastAsia" w:ascii="仿宋" w:hAnsi="仿宋" w:eastAsia="仿宋" w:cs="仿宋"/>
                <w:color w:val="auto"/>
                <w:spacing w:val="30"/>
                <w:sz w:val="24"/>
                <w:szCs w:val="24"/>
                <w:highlight w:val="none"/>
                <w:lang w:val="en-US" w:eastAsia="zh-CN"/>
              </w:rPr>
              <w:t>3</w:t>
            </w:r>
            <w:r>
              <w:rPr>
                <w:rFonts w:hint="eastAsia" w:ascii="仿宋" w:hAnsi="仿宋" w:eastAsia="仿宋" w:cs="仿宋"/>
                <w:color w:val="auto"/>
                <w:spacing w:val="30"/>
                <w:sz w:val="24"/>
                <w:szCs w:val="24"/>
                <w:highlight w:val="none"/>
              </w:rPr>
              <w:t>分；内容完整，针对性低得</w:t>
            </w:r>
            <w:r>
              <w:rPr>
                <w:rFonts w:hint="eastAsia" w:ascii="仿宋" w:hAnsi="仿宋" w:eastAsia="仿宋" w:cs="仿宋"/>
                <w:color w:val="auto"/>
                <w:spacing w:val="30"/>
                <w:sz w:val="24"/>
                <w:szCs w:val="24"/>
                <w:highlight w:val="none"/>
                <w:lang w:val="en-US" w:eastAsia="zh-CN"/>
              </w:rPr>
              <w:t>2</w:t>
            </w:r>
            <w:r>
              <w:rPr>
                <w:rFonts w:hint="eastAsia" w:ascii="仿宋" w:hAnsi="仿宋" w:eastAsia="仿宋" w:cs="仿宋"/>
                <w:color w:val="auto"/>
                <w:spacing w:val="30"/>
                <w:sz w:val="24"/>
                <w:szCs w:val="24"/>
                <w:highlight w:val="none"/>
              </w:rPr>
              <w:t>分；内容不完整得</w:t>
            </w:r>
            <w:r>
              <w:rPr>
                <w:rFonts w:hint="eastAsia" w:ascii="仿宋" w:hAnsi="仿宋" w:eastAsia="仿宋" w:cs="仿宋"/>
                <w:color w:val="auto"/>
                <w:spacing w:val="30"/>
                <w:sz w:val="24"/>
                <w:szCs w:val="24"/>
                <w:highlight w:val="none"/>
                <w:lang w:val="en-US" w:eastAsia="zh-CN"/>
              </w:rPr>
              <w:t>1</w:t>
            </w:r>
            <w:r>
              <w:rPr>
                <w:rFonts w:hint="eastAsia" w:ascii="仿宋" w:hAnsi="仿宋" w:eastAsia="仿宋" w:cs="仿宋"/>
                <w:color w:val="auto"/>
                <w:spacing w:val="30"/>
                <w:sz w:val="24"/>
                <w:szCs w:val="24"/>
                <w:highlight w:val="none"/>
              </w:rPr>
              <w:t>分；未针对本项目描述的得0分。）</w:t>
            </w:r>
          </w:p>
        </w:tc>
      </w:tr>
      <w:tr w14:paraId="59BC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center"/>
          </w:tcPr>
          <w:p w14:paraId="70D8629F">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0A34ED68">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5D8E4614">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施工环境协调及其他措施</w:t>
            </w:r>
          </w:p>
          <w:p w14:paraId="0EFED3FA">
            <w:pPr>
              <w:pStyle w:val="31"/>
              <w:jc w:val="center"/>
              <w:rPr>
                <w:rFonts w:hint="eastAsia" w:ascii="仿宋" w:hAnsi="仿宋" w:eastAsia="仿宋" w:cs="仿宋"/>
                <w:color w:val="auto"/>
                <w:sz w:val="24"/>
                <w:szCs w:val="24"/>
                <w:highlight w:val="none"/>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626FE764">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施工环境协调及其他措施（内容详实完整，针对性强得</w:t>
            </w:r>
            <w:r>
              <w:rPr>
                <w:rFonts w:hint="eastAsia" w:ascii="仿宋" w:hAnsi="仿宋" w:eastAsia="仿宋" w:cs="仿宋"/>
                <w:color w:val="auto"/>
                <w:spacing w:val="30"/>
                <w:sz w:val="24"/>
                <w:szCs w:val="24"/>
                <w:highlight w:val="none"/>
                <w:lang w:val="en-US" w:eastAsia="zh-CN"/>
              </w:rPr>
              <w:t>5</w:t>
            </w:r>
            <w:r>
              <w:rPr>
                <w:rFonts w:hint="eastAsia" w:ascii="仿宋" w:hAnsi="仿宋" w:eastAsia="仿宋" w:cs="仿宋"/>
                <w:color w:val="auto"/>
                <w:spacing w:val="30"/>
                <w:sz w:val="24"/>
                <w:szCs w:val="24"/>
                <w:highlight w:val="none"/>
              </w:rPr>
              <w:t>分；内容详实基本完整，针对性较强得</w:t>
            </w:r>
            <w:r>
              <w:rPr>
                <w:rFonts w:hint="eastAsia" w:ascii="仿宋" w:hAnsi="仿宋" w:eastAsia="仿宋" w:cs="仿宋"/>
                <w:color w:val="auto"/>
                <w:spacing w:val="30"/>
                <w:sz w:val="24"/>
                <w:szCs w:val="24"/>
                <w:highlight w:val="none"/>
                <w:lang w:val="en-US" w:eastAsia="zh-CN"/>
              </w:rPr>
              <w:t>4</w:t>
            </w:r>
            <w:r>
              <w:rPr>
                <w:rFonts w:hint="eastAsia" w:ascii="仿宋" w:hAnsi="仿宋" w:eastAsia="仿宋" w:cs="仿宋"/>
                <w:color w:val="auto"/>
                <w:spacing w:val="30"/>
                <w:sz w:val="24"/>
                <w:szCs w:val="24"/>
                <w:highlight w:val="none"/>
              </w:rPr>
              <w:t>分；内容完整，针对性一般得</w:t>
            </w:r>
            <w:r>
              <w:rPr>
                <w:rFonts w:hint="eastAsia" w:ascii="仿宋" w:hAnsi="仿宋" w:eastAsia="仿宋" w:cs="仿宋"/>
                <w:color w:val="auto"/>
                <w:spacing w:val="30"/>
                <w:sz w:val="24"/>
                <w:szCs w:val="24"/>
                <w:highlight w:val="none"/>
                <w:lang w:val="en-US" w:eastAsia="zh-CN"/>
              </w:rPr>
              <w:t>3</w:t>
            </w:r>
            <w:r>
              <w:rPr>
                <w:rFonts w:hint="eastAsia" w:ascii="仿宋" w:hAnsi="仿宋" w:eastAsia="仿宋" w:cs="仿宋"/>
                <w:color w:val="auto"/>
                <w:spacing w:val="30"/>
                <w:sz w:val="24"/>
                <w:szCs w:val="24"/>
                <w:highlight w:val="none"/>
              </w:rPr>
              <w:t>分；内容完整，针对性低得</w:t>
            </w:r>
            <w:r>
              <w:rPr>
                <w:rFonts w:hint="eastAsia" w:ascii="仿宋" w:hAnsi="仿宋" w:eastAsia="仿宋" w:cs="仿宋"/>
                <w:color w:val="auto"/>
                <w:spacing w:val="30"/>
                <w:sz w:val="24"/>
                <w:szCs w:val="24"/>
                <w:highlight w:val="none"/>
                <w:lang w:val="en-US" w:eastAsia="zh-CN"/>
              </w:rPr>
              <w:t>2</w:t>
            </w:r>
            <w:r>
              <w:rPr>
                <w:rFonts w:hint="eastAsia" w:ascii="仿宋" w:hAnsi="仿宋" w:eastAsia="仿宋" w:cs="仿宋"/>
                <w:color w:val="auto"/>
                <w:spacing w:val="30"/>
                <w:sz w:val="24"/>
                <w:szCs w:val="24"/>
                <w:highlight w:val="none"/>
              </w:rPr>
              <w:t>分；内容不完整得</w:t>
            </w:r>
            <w:r>
              <w:rPr>
                <w:rFonts w:hint="eastAsia" w:ascii="仿宋" w:hAnsi="仿宋" w:eastAsia="仿宋" w:cs="仿宋"/>
                <w:color w:val="auto"/>
                <w:spacing w:val="30"/>
                <w:sz w:val="24"/>
                <w:szCs w:val="24"/>
                <w:highlight w:val="none"/>
                <w:lang w:val="en-US" w:eastAsia="zh-CN"/>
              </w:rPr>
              <w:t>1</w:t>
            </w:r>
            <w:r>
              <w:rPr>
                <w:rFonts w:hint="eastAsia" w:ascii="仿宋" w:hAnsi="仿宋" w:eastAsia="仿宋" w:cs="仿宋"/>
                <w:color w:val="auto"/>
                <w:spacing w:val="30"/>
                <w:sz w:val="24"/>
                <w:szCs w:val="24"/>
                <w:highlight w:val="none"/>
              </w:rPr>
              <w:t>分；未针对本项目描述的得0分。）</w:t>
            </w:r>
          </w:p>
        </w:tc>
      </w:tr>
      <w:tr w14:paraId="04B2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center"/>
          </w:tcPr>
          <w:p w14:paraId="28236DEE">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6F7DE591">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7FA002BE">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风险管理措施</w:t>
            </w:r>
          </w:p>
          <w:p w14:paraId="3EFB857D">
            <w:pPr>
              <w:pStyle w:val="31"/>
              <w:jc w:val="center"/>
              <w:rPr>
                <w:rFonts w:hint="eastAsia" w:ascii="仿宋" w:hAnsi="仿宋" w:eastAsia="仿宋" w:cs="仿宋"/>
                <w:color w:val="auto"/>
                <w:sz w:val="24"/>
                <w:szCs w:val="24"/>
                <w:highlight w:val="none"/>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3871E785">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根据本项目重点难点分析及预防措施、施工质量风险分析及预防措施的合理性、可行性、操作性等方面进行打分（内容详实完整，针对性强得</w:t>
            </w:r>
            <w:r>
              <w:rPr>
                <w:rFonts w:hint="eastAsia" w:ascii="仿宋" w:hAnsi="仿宋" w:eastAsia="仿宋" w:cs="仿宋"/>
                <w:color w:val="auto"/>
                <w:spacing w:val="30"/>
                <w:sz w:val="24"/>
                <w:szCs w:val="24"/>
                <w:highlight w:val="none"/>
                <w:lang w:val="en-US" w:eastAsia="zh-CN"/>
              </w:rPr>
              <w:t>5</w:t>
            </w:r>
            <w:r>
              <w:rPr>
                <w:rFonts w:hint="eastAsia" w:ascii="仿宋" w:hAnsi="仿宋" w:eastAsia="仿宋" w:cs="仿宋"/>
                <w:color w:val="auto"/>
                <w:spacing w:val="30"/>
                <w:sz w:val="24"/>
                <w:szCs w:val="24"/>
                <w:highlight w:val="none"/>
              </w:rPr>
              <w:t>分；内容详实基本完整，针对性较强得</w:t>
            </w:r>
            <w:r>
              <w:rPr>
                <w:rFonts w:hint="eastAsia" w:ascii="仿宋" w:hAnsi="仿宋" w:eastAsia="仿宋" w:cs="仿宋"/>
                <w:color w:val="auto"/>
                <w:spacing w:val="30"/>
                <w:sz w:val="24"/>
                <w:szCs w:val="24"/>
                <w:highlight w:val="none"/>
                <w:lang w:val="en-US" w:eastAsia="zh-CN"/>
              </w:rPr>
              <w:t>4</w:t>
            </w:r>
            <w:r>
              <w:rPr>
                <w:rFonts w:hint="eastAsia" w:ascii="仿宋" w:hAnsi="仿宋" w:eastAsia="仿宋" w:cs="仿宋"/>
                <w:color w:val="auto"/>
                <w:spacing w:val="30"/>
                <w:sz w:val="24"/>
                <w:szCs w:val="24"/>
                <w:highlight w:val="none"/>
              </w:rPr>
              <w:t>分；内容完整，针对性一般得</w:t>
            </w:r>
            <w:r>
              <w:rPr>
                <w:rFonts w:hint="eastAsia" w:ascii="仿宋" w:hAnsi="仿宋" w:eastAsia="仿宋" w:cs="仿宋"/>
                <w:color w:val="auto"/>
                <w:spacing w:val="30"/>
                <w:sz w:val="24"/>
                <w:szCs w:val="24"/>
                <w:highlight w:val="none"/>
                <w:lang w:val="en-US" w:eastAsia="zh-CN"/>
              </w:rPr>
              <w:t>3</w:t>
            </w:r>
            <w:r>
              <w:rPr>
                <w:rFonts w:hint="eastAsia" w:ascii="仿宋" w:hAnsi="仿宋" w:eastAsia="仿宋" w:cs="仿宋"/>
                <w:color w:val="auto"/>
                <w:spacing w:val="30"/>
                <w:sz w:val="24"/>
                <w:szCs w:val="24"/>
                <w:highlight w:val="none"/>
              </w:rPr>
              <w:t>分；内容完整，针对性低得</w:t>
            </w:r>
            <w:r>
              <w:rPr>
                <w:rFonts w:hint="eastAsia" w:ascii="仿宋" w:hAnsi="仿宋" w:eastAsia="仿宋" w:cs="仿宋"/>
                <w:color w:val="auto"/>
                <w:spacing w:val="30"/>
                <w:sz w:val="24"/>
                <w:szCs w:val="24"/>
                <w:highlight w:val="none"/>
                <w:lang w:val="en-US" w:eastAsia="zh-CN"/>
              </w:rPr>
              <w:t>2</w:t>
            </w:r>
            <w:r>
              <w:rPr>
                <w:rFonts w:hint="eastAsia" w:ascii="仿宋" w:hAnsi="仿宋" w:eastAsia="仿宋" w:cs="仿宋"/>
                <w:color w:val="auto"/>
                <w:spacing w:val="30"/>
                <w:sz w:val="24"/>
                <w:szCs w:val="24"/>
                <w:highlight w:val="none"/>
              </w:rPr>
              <w:t>分；内容不完整得</w:t>
            </w:r>
            <w:r>
              <w:rPr>
                <w:rFonts w:hint="eastAsia" w:ascii="仿宋" w:hAnsi="仿宋" w:eastAsia="仿宋" w:cs="仿宋"/>
                <w:color w:val="auto"/>
                <w:spacing w:val="30"/>
                <w:sz w:val="24"/>
                <w:szCs w:val="24"/>
                <w:highlight w:val="none"/>
                <w:lang w:val="en-US" w:eastAsia="zh-CN"/>
              </w:rPr>
              <w:t>1</w:t>
            </w:r>
            <w:r>
              <w:rPr>
                <w:rFonts w:hint="eastAsia" w:ascii="仿宋" w:hAnsi="仿宋" w:eastAsia="仿宋" w:cs="仿宋"/>
                <w:color w:val="auto"/>
                <w:spacing w:val="30"/>
                <w:sz w:val="24"/>
                <w:szCs w:val="24"/>
                <w:highlight w:val="none"/>
              </w:rPr>
              <w:t>分；未针对本项目描述的得0分。）</w:t>
            </w:r>
          </w:p>
        </w:tc>
      </w:tr>
      <w:tr w14:paraId="3A72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center"/>
          </w:tcPr>
          <w:p w14:paraId="5990F47C">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24CB0AC9">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61C107D1">
            <w:pPr>
              <w:jc w:val="center"/>
              <w:rPr>
                <w:rFonts w:hint="eastAsia" w:ascii="仿宋" w:hAnsi="仿宋" w:eastAsia="仿宋" w:cs="仿宋"/>
                <w:color w:val="auto"/>
                <w:spacing w:val="30"/>
                <w:sz w:val="24"/>
                <w:szCs w:val="24"/>
                <w:highlight w:val="none"/>
              </w:rPr>
            </w:pPr>
            <w:r>
              <w:rPr>
                <w:rFonts w:hint="eastAsia" w:ascii="仿宋" w:hAnsi="仿宋" w:eastAsia="仿宋" w:cs="仿宋"/>
                <w:color w:val="auto"/>
                <w:spacing w:val="30"/>
                <w:sz w:val="24"/>
                <w:szCs w:val="24"/>
                <w:highlight w:val="none"/>
              </w:rPr>
              <w:t>服务承诺</w:t>
            </w:r>
          </w:p>
          <w:p w14:paraId="45A3F4AB">
            <w:pPr>
              <w:pStyle w:val="31"/>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0"/>
                <w:sz w:val="24"/>
                <w:szCs w:val="24"/>
                <w:highlight w:val="none"/>
                <w:lang w:eastAsia="zh-CN"/>
              </w:rPr>
              <w:t>（</w:t>
            </w:r>
            <w:r>
              <w:rPr>
                <w:rFonts w:hint="eastAsia" w:ascii="仿宋" w:hAnsi="仿宋" w:eastAsia="仿宋" w:cs="仿宋"/>
                <w:color w:val="auto"/>
                <w:spacing w:val="30"/>
                <w:sz w:val="24"/>
                <w:szCs w:val="24"/>
                <w:highlight w:val="none"/>
                <w:lang w:val="en-US" w:eastAsia="zh-CN"/>
              </w:rPr>
              <w:t>5分</w:t>
            </w:r>
            <w:r>
              <w:rPr>
                <w:rFonts w:hint="eastAsia" w:ascii="仿宋" w:hAnsi="仿宋" w:eastAsia="仿宋" w:cs="仿宋"/>
                <w:color w:val="auto"/>
                <w:spacing w:val="30"/>
                <w:sz w:val="24"/>
                <w:szCs w:val="24"/>
                <w:highlight w:val="none"/>
                <w:lang w:eastAsia="zh-CN"/>
              </w:rPr>
              <w:t>）</w:t>
            </w:r>
          </w:p>
        </w:tc>
        <w:tc>
          <w:tcPr>
            <w:tcW w:w="5233" w:type="dxa"/>
            <w:noWrap w:val="0"/>
            <w:vAlign w:val="center"/>
          </w:tcPr>
          <w:p w14:paraId="308423EE">
            <w:pPr>
              <w:jc w:val="left"/>
              <w:rPr>
                <w:rFonts w:hint="eastAsia" w:ascii="仿宋" w:hAnsi="仿宋" w:eastAsia="仿宋" w:cs="仿宋"/>
                <w:color w:val="auto"/>
                <w:spacing w:val="14"/>
                <w:sz w:val="24"/>
                <w:szCs w:val="24"/>
                <w:highlight w:val="none"/>
              </w:rPr>
            </w:pPr>
            <w:r>
              <w:rPr>
                <w:rFonts w:hint="eastAsia" w:ascii="仿宋" w:hAnsi="仿宋" w:eastAsia="仿宋" w:cs="仿宋"/>
                <w:color w:val="auto"/>
                <w:spacing w:val="30"/>
                <w:sz w:val="24"/>
                <w:szCs w:val="24"/>
                <w:highlight w:val="none"/>
              </w:rPr>
              <w:t>保证施工质量、安全的措施及承诺、地方周边关系协调能力、措施及其他优惠服务承诺；（承诺内容详实完整，针对性强得5分；内容详实基本完整，针对性较强得4分；内容完整，针对性一般得3分；内容完整，针对性低得2分；内容不完整得1分；未针对本项目描述的得0分。）</w:t>
            </w:r>
          </w:p>
        </w:tc>
      </w:tr>
      <w:tr w14:paraId="398A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restart"/>
            <w:noWrap w:val="0"/>
            <w:vAlign w:val="center"/>
          </w:tcPr>
          <w:p w14:paraId="710E5FDA">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p>
        </w:tc>
        <w:tc>
          <w:tcPr>
            <w:tcW w:w="1389" w:type="dxa"/>
            <w:vMerge w:val="restart"/>
            <w:noWrap w:val="0"/>
            <w:vAlign w:val="center"/>
          </w:tcPr>
          <w:p w14:paraId="07B7FA56">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综合标</w:t>
            </w:r>
          </w:p>
          <w:p w14:paraId="07CD1EAF">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w:t>
            </w:r>
            <w:r>
              <w:rPr>
                <w:rFonts w:hint="eastAsia" w:ascii="仿宋" w:hAnsi="仿宋" w:eastAsia="仿宋" w:cs="仿宋"/>
                <w:snapToGrid w:val="0"/>
                <w:color w:val="auto"/>
                <w:sz w:val="24"/>
                <w:szCs w:val="24"/>
                <w:highlight w:val="none"/>
                <w:lang w:val="en-US" w:eastAsia="zh-CN"/>
              </w:rPr>
              <w:t>15</w:t>
            </w:r>
            <w:r>
              <w:rPr>
                <w:rFonts w:hint="eastAsia" w:ascii="仿宋" w:hAnsi="仿宋" w:eastAsia="仿宋" w:cs="仿宋"/>
                <w:snapToGrid w:val="0"/>
                <w:color w:val="auto"/>
                <w:sz w:val="24"/>
                <w:szCs w:val="24"/>
                <w:highlight w:val="none"/>
              </w:rPr>
              <w:t>分）</w:t>
            </w:r>
          </w:p>
        </w:tc>
        <w:tc>
          <w:tcPr>
            <w:tcW w:w="2557" w:type="dxa"/>
            <w:noWrap w:val="0"/>
            <w:vAlign w:val="center"/>
          </w:tcPr>
          <w:p w14:paraId="3D4198FA">
            <w:pPr>
              <w:spacing w:line="36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企业</w:t>
            </w:r>
            <w:r>
              <w:rPr>
                <w:rFonts w:hint="eastAsia" w:ascii="仿宋" w:hAnsi="仿宋" w:eastAsia="仿宋" w:cs="仿宋"/>
                <w:snapToGrid w:val="0"/>
                <w:color w:val="auto"/>
                <w:sz w:val="24"/>
                <w:szCs w:val="24"/>
                <w:highlight w:val="none"/>
                <w:lang w:val="en-US" w:eastAsia="zh-CN"/>
              </w:rPr>
              <w:t>业绩</w:t>
            </w:r>
            <w:r>
              <w:rPr>
                <w:rFonts w:hint="eastAsia" w:ascii="仿宋" w:hAnsi="仿宋" w:eastAsia="仿宋" w:cs="仿宋"/>
                <w:snapToGrid w:val="0"/>
                <w:color w:val="auto"/>
                <w:sz w:val="24"/>
                <w:szCs w:val="24"/>
                <w:highlight w:val="none"/>
              </w:rPr>
              <w:t>（</w:t>
            </w:r>
            <w:r>
              <w:rPr>
                <w:rFonts w:hint="eastAsia" w:ascii="仿宋" w:hAnsi="仿宋" w:eastAsia="仿宋" w:cs="仿宋"/>
                <w:snapToGrid w:val="0"/>
                <w:color w:val="auto"/>
                <w:sz w:val="24"/>
                <w:szCs w:val="24"/>
                <w:highlight w:val="none"/>
                <w:lang w:val="en-US" w:eastAsia="zh-CN"/>
              </w:rPr>
              <w:t>9</w:t>
            </w:r>
            <w:r>
              <w:rPr>
                <w:rFonts w:hint="eastAsia" w:ascii="仿宋" w:hAnsi="仿宋" w:eastAsia="仿宋" w:cs="仿宋"/>
                <w:snapToGrid w:val="0"/>
                <w:color w:val="auto"/>
                <w:sz w:val="24"/>
                <w:szCs w:val="24"/>
                <w:highlight w:val="none"/>
              </w:rPr>
              <w:t>分）</w:t>
            </w:r>
          </w:p>
        </w:tc>
        <w:tc>
          <w:tcPr>
            <w:tcW w:w="5233" w:type="dxa"/>
            <w:noWrap w:val="0"/>
            <w:vAlign w:val="center"/>
          </w:tcPr>
          <w:p w14:paraId="770BF58D">
            <w:pPr>
              <w:spacing w:line="360" w:lineRule="auto"/>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val="en-US" w:eastAsia="zh-CN"/>
              </w:rPr>
              <w:t>投标人</w:t>
            </w:r>
            <w:r>
              <w:rPr>
                <w:rFonts w:hint="eastAsia" w:ascii="仿宋" w:hAnsi="仿宋" w:eastAsia="仿宋" w:cs="仿宋"/>
                <w:snapToGrid w:val="0"/>
                <w:color w:val="auto"/>
                <w:sz w:val="24"/>
                <w:szCs w:val="24"/>
                <w:highlight w:val="none"/>
              </w:rPr>
              <w:t>20</w:t>
            </w:r>
            <w:r>
              <w:rPr>
                <w:rFonts w:hint="eastAsia" w:ascii="仿宋" w:hAnsi="仿宋" w:eastAsia="仿宋" w:cs="仿宋"/>
                <w:snapToGrid w:val="0"/>
                <w:color w:val="auto"/>
                <w:sz w:val="24"/>
                <w:szCs w:val="24"/>
                <w:highlight w:val="none"/>
                <w:lang w:val="en-US" w:eastAsia="zh-CN"/>
              </w:rPr>
              <w:t>22</w:t>
            </w:r>
            <w:r>
              <w:rPr>
                <w:rFonts w:hint="eastAsia" w:ascii="仿宋" w:hAnsi="仿宋" w:eastAsia="仿宋" w:cs="仿宋"/>
                <w:snapToGrid w:val="0"/>
                <w:color w:val="auto"/>
                <w:sz w:val="24"/>
                <w:szCs w:val="24"/>
                <w:highlight w:val="none"/>
              </w:rPr>
              <w:t>年1月1日以来</w:t>
            </w:r>
            <w:r>
              <w:rPr>
                <w:rFonts w:hint="eastAsia" w:ascii="仿宋" w:hAnsi="仿宋" w:eastAsia="仿宋" w:cs="仿宋"/>
                <w:snapToGrid w:val="0"/>
                <w:color w:val="auto"/>
                <w:sz w:val="24"/>
                <w:szCs w:val="24"/>
                <w:highlight w:val="none"/>
                <w:lang w:val="en-US" w:eastAsia="zh-CN"/>
              </w:rPr>
              <w:t>承担</w:t>
            </w:r>
            <w:r>
              <w:rPr>
                <w:rFonts w:hint="eastAsia" w:ascii="仿宋" w:hAnsi="仿宋" w:eastAsia="仿宋" w:cs="仿宋"/>
                <w:snapToGrid w:val="0"/>
                <w:color w:val="auto"/>
                <w:sz w:val="24"/>
                <w:szCs w:val="24"/>
                <w:highlight w:val="none"/>
              </w:rPr>
              <w:t>过类似业绩的，每有</w:t>
            </w:r>
            <w:r>
              <w:rPr>
                <w:rFonts w:hint="eastAsia" w:ascii="仿宋" w:hAnsi="仿宋" w:eastAsia="仿宋" w:cs="仿宋"/>
                <w:snapToGrid w:val="0"/>
                <w:color w:val="auto"/>
                <w:sz w:val="24"/>
                <w:szCs w:val="24"/>
                <w:highlight w:val="none"/>
                <w:lang w:val="en-US" w:eastAsia="zh-CN"/>
              </w:rPr>
              <w:t>1</w:t>
            </w:r>
            <w:r>
              <w:rPr>
                <w:rFonts w:hint="eastAsia" w:ascii="仿宋" w:hAnsi="仿宋" w:eastAsia="仿宋" w:cs="仿宋"/>
                <w:snapToGrid w:val="0"/>
                <w:color w:val="auto"/>
                <w:sz w:val="24"/>
                <w:szCs w:val="24"/>
                <w:highlight w:val="none"/>
              </w:rPr>
              <w:t>项得</w:t>
            </w:r>
            <w:r>
              <w:rPr>
                <w:rFonts w:hint="eastAsia" w:ascii="仿宋" w:hAnsi="仿宋" w:eastAsia="仿宋" w:cs="仿宋"/>
                <w:snapToGrid w:val="0"/>
                <w:color w:val="auto"/>
                <w:sz w:val="24"/>
                <w:szCs w:val="24"/>
                <w:highlight w:val="none"/>
                <w:lang w:val="en-US" w:eastAsia="zh-CN"/>
              </w:rPr>
              <w:t>3</w:t>
            </w:r>
            <w:r>
              <w:rPr>
                <w:rFonts w:hint="eastAsia" w:ascii="仿宋" w:hAnsi="仿宋" w:eastAsia="仿宋" w:cs="仿宋"/>
                <w:snapToGrid w:val="0"/>
                <w:color w:val="auto"/>
                <w:sz w:val="24"/>
                <w:szCs w:val="24"/>
                <w:highlight w:val="none"/>
              </w:rPr>
              <w:t>分，最多得</w:t>
            </w:r>
            <w:r>
              <w:rPr>
                <w:rFonts w:hint="eastAsia" w:ascii="仿宋" w:hAnsi="仿宋" w:eastAsia="仿宋" w:cs="仿宋"/>
                <w:snapToGrid w:val="0"/>
                <w:color w:val="auto"/>
                <w:sz w:val="24"/>
                <w:szCs w:val="24"/>
                <w:highlight w:val="none"/>
                <w:lang w:val="en-US" w:eastAsia="zh-CN"/>
              </w:rPr>
              <w:t>9</w:t>
            </w:r>
            <w:r>
              <w:rPr>
                <w:rFonts w:hint="eastAsia" w:ascii="仿宋" w:hAnsi="仿宋" w:eastAsia="仿宋" w:cs="仿宋"/>
                <w:snapToGrid w:val="0"/>
                <w:color w:val="auto"/>
                <w:sz w:val="24"/>
                <w:szCs w:val="24"/>
                <w:highlight w:val="none"/>
              </w:rPr>
              <w:t>分，没有不得分。</w:t>
            </w:r>
            <w:r>
              <w:rPr>
                <w:rFonts w:hint="eastAsia" w:ascii="仿宋" w:hAnsi="仿宋" w:eastAsia="仿宋" w:cs="仿宋"/>
                <w:b/>
                <w:bCs/>
                <w:snapToGrid w:val="0"/>
                <w:color w:val="auto"/>
                <w:sz w:val="24"/>
                <w:szCs w:val="24"/>
                <w:highlight w:val="none"/>
              </w:rPr>
              <w:t>（</w:t>
            </w:r>
            <w:r>
              <w:rPr>
                <w:rFonts w:hint="eastAsia" w:ascii="仿宋" w:hAnsi="仿宋" w:eastAsia="仿宋" w:cs="仿宋"/>
                <w:b/>
                <w:bCs/>
                <w:snapToGrid w:val="0"/>
                <w:color w:val="auto"/>
                <w:sz w:val="24"/>
                <w:szCs w:val="24"/>
                <w:highlight w:val="none"/>
                <w:lang w:val="en-US" w:eastAsia="zh-CN"/>
              </w:rPr>
              <w:t>须提供中标通知书、施工合同扫描件、中标公示网页截图，时间以合同签订时间为准，未提供或缺项不得分</w:t>
            </w:r>
            <w:r>
              <w:rPr>
                <w:rFonts w:hint="eastAsia" w:ascii="仿宋" w:hAnsi="仿宋" w:eastAsia="仿宋" w:cs="仿宋"/>
                <w:b/>
                <w:bCs/>
                <w:snapToGrid w:val="0"/>
                <w:color w:val="auto"/>
                <w:sz w:val="24"/>
                <w:szCs w:val="24"/>
                <w:highlight w:val="none"/>
              </w:rPr>
              <w:t>）</w:t>
            </w:r>
          </w:p>
        </w:tc>
      </w:tr>
      <w:tr w14:paraId="48CA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center"/>
          </w:tcPr>
          <w:p w14:paraId="394C08F8">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5CB100E8">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27FA13EA">
            <w:pPr>
              <w:spacing w:line="360" w:lineRule="auto"/>
              <w:jc w:val="center"/>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项目经理业绩（2分）</w:t>
            </w:r>
          </w:p>
        </w:tc>
        <w:tc>
          <w:tcPr>
            <w:tcW w:w="5233" w:type="dxa"/>
            <w:noWrap w:val="0"/>
            <w:vAlign w:val="center"/>
          </w:tcPr>
          <w:p w14:paraId="719ED0BC">
            <w:pPr>
              <w:spacing w:line="360" w:lineRule="auto"/>
              <w:jc w:val="left"/>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投标人拟派项目经理，2022年1月1日以来完成过类似项目施工业绩，有一份得1分，最多得2分。</w:t>
            </w:r>
          </w:p>
          <w:p w14:paraId="64AF8E2A">
            <w:pPr>
              <w:spacing w:line="360" w:lineRule="auto"/>
              <w:jc w:val="left"/>
              <w:rPr>
                <w:rFonts w:hint="eastAsia" w:ascii="仿宋" w:hAnsi="仿宋" w:eastAsia="仿宋" w:cs="仿宋"/>
                <w:b/>
                <w:bCs/>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1</w:t>
            </w:r>
            <w:r>
              <w:rPr>
                <w:rFonts w:hint="eastAsia" w:ascii="仿宋" w:hAnsi="仿宋" w:eastAsia="仿宋" w:cs="仿宋"/>
                <w:b/>
                <w:bCs/>
                <w:snapToGrid w:val="0"/>
                <w:color w:val="auto"/>
                <w:sz w:val="24"/>
                <w:szCs w:val="24"/>
                <w:highlight w:val="none"/>
                <w:lang w:val="en-US" w:eastAsia="zh-CN"/>
              </w:rPr>
              <w:t>、须提供中标通知书、施工合同扫描件、中标公示网页截图，时间以合同签订时间为准，未提供或缺项不得分;</w:t>
            </w:r>
          </w:p>
          <w:p w14:paraId="73C7D565">
            <w:pPr>
              <w:spacing w:line="360" w:lineRule="auto"/>
              <w:jc w:val="left"/>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b/>
                <w:bCs/>
                <w:snapToGrid w:val="0"/>
                <w:color w:val="auto"/>
                <w:sz w:val="24"/>
                <w:szCs w:val="24"/>
                <w:highlight w:val="none"/>
                <w:lang w:val="en-US" w:eastAsia="zh-CN"/>
              </w:rPr>
              <w:t>2、可与企业业绩重复，但须在上述任一材料中体现项目经理姓名或注册编号，否则不得分。</w:t>
            </w:r>
          </w:p>
        </w:tc>
      </w:tr>
      <w:tr w14:paraId="4C01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7" w:type="dxa"/>
            <w:vMerge w:val="continue"/>
            <w:noWrap w:val="0"/>
            <w:vAlign w:val="center"/>
          </w:tcPr>
          <w:p w14:paraId="38E2E370">
            <w:pPr>
              <w:spacing w:line="360" w:lineRule="auto"/>
              <w:jc w:val="center"/>
              <w:rPr>
                <w:rFonts w:hint="eastAsia" w:ascii="仿宋" w:hAnsi="仿宋" w:eastAsia="仿宋" w:cs="仿宋"/>
                <w:snapToGrid w:val="0"/>
                <w:color w:val="auto"/>
                <w:sz w:val="24"/>
                <w:szCs w:val="24"/>
                <w:highlight w:val="none"/>
              </w:rPr>
            </w:pPr>
          </w:p>
        </w:tc>
        <w:tc>
          <w:tcPr>
            <w:tcW w:w="1389" w:type="dxa"/>
            <w:vMerge w:val="continue"/>
            <w:noWrap w:val="0"/>
            <w:vAlign w:val="center"/>
          </w:tcPr>
          <w:p w14:paraId="1B64B84A">
            <w:pPr>
              <w:spacing w:line="360" w:lineRule="auto"/>
              <w:jc w:val="center"/>
              <w:rPr>
                <w:rFonts w:hint="eastAsia" w:ascii="仿宋" w:hAnsi="仿宋" w:eastAsia="仿宋" w:cs="仿宋"/>
                <w:snapToGrid w:val="0"/>
                <w:color w:val="auto"/>
                <w:sz w:val="24"/>
                <w:szCs w:val="24"/>
                <w:highlight w:val="none"/>
              </w:rPr>
            </w:pPr>
          </w:p>
        </w:tc>
        <w:tc>
          <w:tcPr>
            <w:tcW w:w="2557" w:type="dxa"/>
            <w:noWrap w:val="0"/>
            <w:vAlign w:val="center"/>
          </w:tcPr>
          <w:p w14:paraId="75EB2051">
            <w:pPr>
              <w:spacing w:line="360" w:lineRule="auto"/>
              <w:jc w:val="center"/>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项目管理机构4分</w:t>
            </w:r>
          </w:p>
        </w:tc>
        <w:tc>
          <w:tcPr>
            <w:tcW w:w="5233" w:type="dxa"/>
            <w:noWrap w:val="0"/>
            <w:vAlign w:val="center"/>
          </w:tcPr>
          <w:p w14:paraId="1567BBE3">
            <w:pPr>
              <w:spacing w:line="360" w:lineRule="auto"/>
              <w:jc w:val="left"/>
              <w:rPr>
                <w:rFonts w:hint="eastAsia"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施工人员配置齐全，提供六位关键人员（质量员、施工员、安全员、材料员、资料员、造价人员）有效的岗位证书，证书齐全的得4分，缺少任意一位人员扣1分，缺少三位人员（含）及以上得0分。</w:t>
            </w:r>
            <w:r>
              <w:rPr>
                <w:rFonts w:hint="eastAsia" w:ascii="仿宋" w:hAnsi="仿宋" w:eastAsia="仿宋" w:cs="仿宋"/>
                <w:b/>
                <w:bCs/>
                <w:snapToGrid w:val="0"/>
                <w:color w:val="auto"/>
                <w:sz w:val="24"/>
                <w:szCs w:val="24"/>
                <w:highlight w:val="none"/>
                <w:lang w:val="en-US" w:eastAsia="zh-CN"/>
              </w:rPr>
              <w:t>（需提供证书扫描件）</w:t>
            </w:r>
          </w:p>
        </w:tc>
      </w:tr>
    </w:tbl>
    <w:p w14:paraId="0F402A0F">
      <w:pPr>
        <w:pStyle w:val="3"/>
        <w:rPr>
          <w:color w:val="auto"/>
          <w:highlight w:val="none"/>
        </w:rPr>
      </w:pPr>
    </w:p>
    <w:p w14:paraId="4C25A85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三、投标人综合得分的计算</w:t>
      </w:r>
    </w:p>
    <w:p w14:paraId="5C7B92C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评标委员会应按下列公式计算得分，分值均保留两位小数。</w:t>
      </w:r>
    </w:p>
    <w:p w14:paraId="03A4199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（一）计分法</w:t>
      </w:r>
    </w:p>
    <w:p w14:paraId="1093E71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投标人综合得分＝技术标得分＋商务标得分＋综合标得分。</w:t>
      </w:r>
    </w:p>
    <w:p w14:paraId="1B96646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评标计分汇总工作由评委会指定不少于2名评委，在评标委员会监督下进行，各投标人每项得分（包括技术标各项得分）之和为总计得分，排出得分名次，并按顺序推荐中标候选人（中标候选人应当不超过3个）。当合计得分最高的出现相等时，按投标总报价由低到高的顺序排列；如总得分和投标总报价也相同时,按技术标得分由高到低的顺序排列；如技术标得分相同时，按综合标得分由高到低的顺序排列，如综合标得分相同时，由评标委员会确定排序。评标委员会成员应在《详细评分汇总表》上签署意见，向所有投标人公开评标结果。</w:t>
      </w:r>
    </w:p>
    <w:p w14:paraId="14C649D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投标文件的澄清和补正</w:t>
      </w:r>
    </w:p>
    <w:p w14:paraId="2D3ED3D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在评标过程中，评标委员会可以书面形式要求投标人对所提交的投标文件中不明确的内容进行书面澄清或说明，或者对细微偏差进行补正。评标委员会不接受投标人主动提出的澄清、说明或补正。</w:t>
      </w:r>
    </w:p>
    <w:p w14:paraId="4207AD9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澄清、说明和补正不得改变投标文件的实质性内容（算术性错误修正的除外）。投标人的书面澄清、说明和补正属于投标文件的组成部分。</w:t>
      </w:r>
    </w:p>
    <w:p w14:paraId="3C9F41E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 评标委员会对投标人提交的澄清、说明或补正有疑问的，可以要求投标人进一步澄清、说明或补正，直至满足评标委员会的要求。</w:t>
      </w:r>
    </w:p>
    <w:p w14:paraId="5A5E49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评标结果</w:t>
      </w:r>
    </w:p>
    <w:p w14:paraId="6AA129FE">
      <w:pPr>
        <w:spacing w:line="360" w:lineRule="auto"/>
        <w:ind w:firstLine="480" w:firstLineChars="200"/>
        <w:rPr>
          <w:rFonts w:hint="eastAsia" w:cs="Times New Roman"/>
          <w:color w:val="auto"/>
          <w:highlight w:val="none"/>
        </w:rPr>
      </w:pPr>
      <w:r>
        <w:rPr>
          <w:rFonts w:hint="eastAsia" w:ascii="仿宋" w:hAnsi="仿宋" w:eastAsia="仿宋" w:cs="仿宋"/>
          <w:color w:val="auto"/>
          <w:sz w:val="24"/>
          <w:highlight w:val="none"/>
        </w:rPr>
        <w:t>评标委员会完成评标后，应出具由评标委员会全体成员签名的评标报告。对评标结论有异议的评标委员会成员可以书面方式阐述其不同意见和理由。评标委员会成员拒绝在评标报告上签名且不以书面阐述其不同意见和理由的，视为同意评标结论。评标委员会应当对此作出书面说明并记录在案。评标委员会依据招标文件规定，对评审为合理报价的投标人，按照得分由高到低推荐中标候选人。由招标人按照有关规定确定中标人。</w:t>
      </w:r>
    </w:p>
    <w:p w14:paraId="069A9DF9">
      <w:pPr>
        <w:spacing w:line="400" w:lineRule="exact"/>
        <w:ind w:firstLine="0" w:firstLineChars="0"/>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br w:type="page"/>
      </w:r>
      <w:bookmarkStart w:id="497" w:name="_Toc28745"/>
    </w:p>
    <w:p w14:paraId="109A7D1B">
      <w:pPr>
        <w:rPr>
          <w:rFonts w:hint="eastAsia" w:ascii="仿宋" w:hAnsi="仿宋" w:eastAsia="仿宋" w:cs="仿宋"/>
          <w:b w:val="0"/>
          <w:bCs w:val="0"/>
          <w:color w:val="auto"/>
          <w:sz w:val="32"/>
          <w:highlight w:val="none"/>
        </w:rPr>
      </w:pPr>
    </w:p>
    <w:p w14:paraId="79F1982F">
      <w:pPr>
        <w:pStyle w:val="2"/>
        <w:keepNext w:val="0"/>
        <w:keepLines w:val="0"/>
        <w:spacing w:before="120" w:after="120" w:line="400" w:lineRule="exact"/>
        <w:jc w:val="center"/>
        <w:rPr>
          <w:rFonts w:hint="eastAsia" w:ascii="仿宋" w:hAnsi="仿宋" w:eastAsia="仿宋" w:cs="仿宋"/>
          <w:color w:val="auto"/>
          <w:sz w:val="32"/>
          <w:szCs w:val="32"/>
          <w:highlight w:val="none"/>
        </w:rPr>
      </w:pPr>
      <w:bookmarkStart w:id="498" w:name="_Toc11982"/>
      <w:r>
        <w:rPr>
          <w:rFonts w:hint="eastAsia" w:ascii="仿宋" w:hAnsi="仿宋" w:eastAsia="仿宋" w:cs="仿宋"/>
          <w:color w:val="auto"/>
          <w:sz w:val="32"/>
          <w:szCs w:val="32"/>
          <w:highlight w:val="none"/>
        </w:rPr>
        <w:t>第四章 合同条款及格式</w:t>
      </w:r>
      <w:bookmarkEnd w:id="480"/>
      <w:bookmarkEnd w:id="481"/>
      <w:bookmarkEnd w:id="482"/>
      <w:bookmarkEnd w:id="497"/>
      <w:bookmarkEnd w:id="498"/>
    </w:p>
    <w:p w14:paraId="3B31F502">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此版本为参考版本，最终签订以双方约定为准。</w:t>
      </w:r>
    </w:p>
    <w:p w14:paraId="2FDC3D1E">
      <w:pPr>
        <w:spacing w:line="360" w:lineRule="auto"/>
        <w:ind w:firstLine="420" w:firstLineChars="200"/>
        <w:jc w:val="left"/>
        <w:rPr>
          <w:rFonts w:ascii="仿宋" w:hAnsi="仿宋" w:eastAsia="仿宋" w:cs="仿宋"/>
          <w:color w:val="auto"/>
          <w:szCs w:val="21"/>
          <w:highlight w:val="none"/>
        </w:rPr>
      </w:pPr>
    </w:p>
    <w:p w14:paraId="09ABA0CE">
      <w:pPr>
        <w:wordWrap w:val="0"/>
        <w:spacing w:line="360" w:lineRule="auto"/>
        <w:ind w:right="1120" w:firstLine="0" w:firstLineChars="0"/>
        <w:jc w:val="right"/>
        <w:rPr>
          <w:rFonts w:hint="eastAsia" w:ascii="仿宋" w:hAnsi="仿宋" w:eastAsia="仿宋" w:cs="仿宋"/>
          <w:color w:val="auto"/>
          <w:kern w:val="0"/>
          <w:sz w:val="28"/>
          <w:szCs w:val="28"/>
          <w:highlight w:val="none"/>
        </w:rPr>
      </w:pPr>
      <w:bookmarkStart w:id="499" w:name="_Toc144974851"/>
      <w:bookmarkStart w:id="500" w:name="_Toc152045782"/>
      <w:bookmarkStart w:id="501" w:name="_Toc152042571"/>
      <w:bookmarkStart w:id="502" w:name="_Toc12321"/>
      <w:r>
        <w:rPr>
          <w:rFonts w:hint="eastAsia" w:ascii="仿宋" w:hAnsi="仿宋" w:eastAsia="仿宋" w:cs="仿宋"/>
          <w:color w:val="auto"/>
          <w:kern w:val="0"/>
          <w:sz w:val="28"/>
          <w:szCs w:val="28"/>
          <w:highlight w:val="none"/>
        </w:rPr>
        <w:t>合同编号：</w:t>
      </w:r>
      <w:r>
        <w:rPr>
          <w:rFonts w:hint="eastAsia" w:ascii="仿宋" w:hAnsi="仿宋" w:eastAsia="仿宋" w:cs="仿宋"/>
          <w:color w:val="auto"/>
          <w:kern w:val="0"/>
          <w:sz w:val="28"/>
          <w:szCs w:val="28"/>
          <w:highlight w:val="none"/>
          <w:u w:val="single"/>
        </w:rPr>
        <w:t xml:space="preserve">              </w:t>
      </w:r>
    </w:p>
    <w:p w14:paraId="72416963">
      <w:pPr>
        <w:spacing w:line="360" w:lineRule="auto"/>
        <w:ind w:firstLine="883" w:firstLineChars="200"/>
        <w:jc w:val="center"/>
        <w:rPr>
          <w:rFonts w:hint="eastAsia" w:ascii="仿宋" w:hAnsi="仿宋" w:eastAsia="仿宋" w:cs="仿宋"/>
          <w:b/>
          <w:bCs/>
          <w:color w:val="auto"/>
          <w:kern w:val="0"/>
          <w:sz w:val="44"/>
          <w:szCs w:val="44"/>
          <w:highlight w:val="none"/>
        </w:rPr>
      </w:pPr>
    </w:p>
    <w:p w14:paraId="631ABA45">
      <w:pPr>
        <w:spacing w:line="360" w:lineRule="auto"/>
        <w:ind w:firstLine="883" w:firstLineChars="200"/>
        <w:jc w:val="center"/>
        <w:rPr>
          <w:rFonts w:hint="eastAsia" w:ascii="仿宋" w:hAnsi="仿宋" w:eastAsia="仿宋" w:cs="仿宋"/>
          <w:b/>
          <w:bCs/>
          <w:color w:val="auto"/>
          <w:kern w:val="0"/>
          <w:sz w:val="44"/>
          <w:szCs w:val="44"/>
          <w:highlight w:val="none"/>
        </w:rPr>
      </w:pPr>
    </w:p>
    <w:p w14:paraId="3AE9739E">
      <w:pPr>
        <w:spacing w:line="360" w:lineRule="auto"/>
        <w:ind w:firstLine="883" w:firstLineChars="200"/>
        <w:jc w:val="center"/>
        <w:rPr>
          <w:rFonts w:hint="eastAsia" w:ascii="仿宋" w:hAnsi="仿宋" w:eastAsia="仿宋" w:cs="仿宋"/>
          <w:b/>
          <w:bCs/>
          <w:color w:val="auto"/>
          <w:kern w:val="0"/>
          <w:sz w:val="44"/>
          <w:szCs w:val="44"/>
          <w:highlight w:val="none"/>
        </w:rPr>
      </w:pPr>
      <w:r>
        <w:rPr>
          <w:rFonts w:hint="eastAsia" w:ascii="仿宋" w:hAnsi="仿宋" w:eastAsia="仿宋" w:cs="仿宋"/>
          <w:b/>
          <w:bCs/>
          <w:color w:val="auto"/>
          <w:kern w:val="0"/>
          <w:sz w:val="44"/>
          <w:szCs w:val="44"/>
          <w:highlight w:val="none"/>
        </w:rPr>
        <w:t>建 筑 工 程 承 包 合 同</w:t>
      </w:r>
    </w:p>
    <w:p w14:paraId="6CA0F63D">
      <w:pPr>
        <w:spacing w:line="360" w:lineRule="auto"/>
        <w:ind w:firstLine="560" w:firstLineChars="200"/>
        <w:jc w:val="left"/>
        <w:rPr>
          <w:rFonts w:hint="eastAsia" w:ascii="仿宋" w:hAnsi="仿宋" w:eastAsia="仿宋" w:cs="仿宋"/>
          <w:color w:val="auto"/>
          <w:kern w:val="0"/>
          <w:sz w:val="28"/>
          <w:szCs w:val="28"/>
          <w:highlight w:val="none"/>
        </w:rPr>
      </w:pPr>
    </w:p>
    <w:p w14:paraId="430D15E8">
      <w:pPr>
        <w:spacing w:line="360" w:lineRule="auto"/>
        <w:ind w:firstLine="560" w:firstLineChars="200"/>
        <w:jc w:val="left"/>
        <w:rPr>
          <w:rFonts w:hint="eastAsia" w:ascii="仿宋" w:hAnsi="仿宋" w:eastAsia="仿宋" w:cs="仿宋"/>
          <w:color w:val="auto"/>
          <w:kern w:val="0"/>
          <w:sz w:val="28"/>
          <w:szCs w:val="28"/>
          <w:highlight w:val="none"/>
        </w:rPr>
      </w:pPr>
    </w:p>
    <w:p w14:paraId="20066DCD">
      <w:pPr>
        <w:spacing w:line="480" w:lineRule="auto"/>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工程名称：</w:t>
      </w:r>
    </w:p>
    <w:p w14:paraId="15A8E296">
      <w:pPr>
        <w:tabs>
          <w:tab w:val="left" w:pos="5140"/>
        </w:tabs>
        <w:spacing w:line="48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w:t>
      </w:r>
    </w:p>
    <w:p w14:paraId="0B696E7B">
      <w:pPr>
        <w:spacing w:line="360" w:lineRule="auto"/>
        <w:ind w:firstLine="560" w:firstLineChars="200"/>
        <w:jc w:val="left"/>
        <w:rPr>
          <w:rFonts w:hint="eastAsia" w:ascii="仿宋" w:hAnsi="仿宋" w:eastAsia="仿宋" w:cs="仿宋"/>
          <w:color w:val="auto"/>
          <w:kern w:val="0"/>
          <w:sz w:val="28"/>
          <w:szCs w:val="28"/>
          <w:highlight w:val="none"/>
          <w:u w:val="single"/>
        </w:rPr>
      </w:pPr>
    </w:p>
    <w:p w14:paraId="4DC4B6A9">
      <w:pPr>
        <w:bidi w:val="0"/>
        <w:spacing w:line="360" w:lineRule="auto"/>
        <w:ind w:firstLine="480" w:firstLineChars="200"/>
        <w:jc w:val="left"/>
        <w:rPr>
          <w:rFonts w:hint="eastAsia" w:ascii="仿宋" w:hAnsi="仿宋" w:eastAsia="仿宋" w:cs="仿宋"/>
          <w:color w:val="auto"/>
          <w:kern w:val="0"/>
          <w:sz w:val="24"/>
          <w:szCs w:val="22"/>
          <w:highlight w:val="none"/>
        </w:rPr>
      </w:pPr>
    </w:p>
    <w:p w14:paraId="61B43F18">
      <w:pPr>
        <w:spacing w:line="360" w:lineRule="auto"/>
        <w:ind w:firstLine="560" w:firstLineChars="200"/>
        <w:jc w:val="left"/>
        <w:rPr>
          <w:rFonts w:hint="eastAsia" w:ascii="仿宋" w:hAnsi="仿宋" w:eastAsia="仿宋" w:cs="仿宋"/>
          <w:color w:val="auto"/>
          <w:kern w:val="0"/>
          <w:sz w:val="28"/>
          <w:szCs w:val="28"/>
          <w:highlight w:val="none"/>
          <w:u w:val="single"/>
        </w:rPr>
      </w:pPr>
    </w:p>
    <w:p w14:paraId="2E06716E">
      <w:pPr>
        <w:spacing w:line="360" w:lineRule="auto"/>
        <w:ind w:firstLine="560" w:firstLineChars="200"/>
        <w:jc w:val="left"/>
        <w:rPr>
          <w:rFonts w:hint="eastAsia" w:ascii="仿宋" w:hAnsi="仿宋" w:eastAsia="仿宋" w:cs="仿宋"/>
          <w:color w:val="auto"/>
          <w:kern w:val="0"/>
          <w:sz w:val="28"/>
          <w:szCs w:val="28"/>
          <w:highlight w:val="none"/>
          <w:u w:val="single"/>
          <w:lang w:eastAsia="zh-CN"/>
        </w:rPr>
      </w:pPr>
      <w:r>
        <w:rPr>
          <w:rFonts w:hint="eastAsia" w:ascii="仿宋" w:hAnsi="仿宋" w:eastAsia="仿宋" w:cs="仿宋"/>
          <w:color w:val="auto"/>
          <w:kern w:val="0"/>
          <w:sz w:val="28"/>
          <w:szCs w:val="28"/>
          <w:highlight w:val="none"/>
        </w:rPr>
        <w:t>发包方（简称甲方）：</w:t>
      </w:r>
    </w:p>
    <w:p w14:paraId="3D64DB11">
      <w:pPr>
        <w:spacing w:line="360" w:lineRule="auto"/>
        <w:ind w:firstLine="560" w:firstLineChars="200"/>
        <w:jc w:val="left"/>
        <w:rPr>
          <w:rFonts w:hint="eastAsia" w:ascii="仿宋" w:hAnsi="仿宋" w:eastAsia="仿宋" w:cs="仿宋"/>
          <w:color w:val="auto"/>
          <w:kern w:val="0"/>
          <w:sz w:val="28"/>
          <w:szCs w:val="28"/>
          <w:highlight w:val="none"/>
        </w:rPr>
      </w:pPr>
    </w:p>
    <w:p w14:paraId="2050BD0D">
      <w:pPr>
        <w:spacing w:line="360" w:lineRule="auto"/>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承包方（简称乙方）：</w:t>
      </w:r>
    </w:p>
    <w:p w14:paraId="48237EFD">
      <w:pPr>
        <w:spacing w:line="360" w:lineRule="auto"/>
        <w:ind w:firstLine="560" w:firstLineChars="200"/>
        <w:jc w:val="left"/>
        <w:rPr>
          <w:rFonts w:hint="eastAsia" w:ascii="仿宋" w:hAnsi="仿宋" w:eastAsia="仿宋" w:cs="仿宋"/>
          <w:color w:val="auto"/>
          <w:kern w:val="0"/>
          <w:sz w:val="28"/>
          <w:szCs w:val="28"/>
          <w:highlight w:val="none"/>
        </w:rPr>
      </w:pPr>
    </w:p>
    <w:p w14:paraId="3905903C">
      <w:pPr>
        <w:spacing w:line="360" w:lineRule="auto"/>
        <w:ind w:firstLine="560" w:firstLineChars="200"/>
        <w:jc w:val="left"/>
        <w:rPr>
          <w:rFonts w:hint="eastAsia" w:ascii="仿宋" w:hAnsi="仿宋" w:eastAsia="仿宋" w:cs="仿宋"/>
          <w:color w:val="auto"/>
          <w:kern w:val="0"/>
          <w:sz w:val="28"/>
          <w:szCs w:val="28"/>
          <w:highlight w:val="none"/>
        </w:rPr>
      </w:pPr>
    </w:p>
    <w:p w14:paraId="50AD353C">
      <w:pPr>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签订时间：</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年   月   日</w:t>
      </w:r>
    </w:p>
    <w:p w14:paraId="4CE9F9F1">
      <w:pPr>
        <w:spacing w:line="360" w:lineRule="auto"/>
        <w:ind w:firstLine="560" w:firstLineChars="200"/>
        <w:jc w:val="left"/>
        <w:rPr>
          <w:rFonts w:hint="eastAsia" w:ascii="仿宋" w:hAnsi="仿宋" w:eastAsia="仿宋" w:cs="仿宋"/>
          <w:color w:val="auto"/>
          <w:kern w:val="0"/>
          <w:sz w:val="28"/>
          <w:szCs w:val="28"/>
          <w:highlight w:val="none"/>
        </w:rPr>
      </w:pPr>
    </w:p>
    <w:p w14:paraId="005E8253">
      <w:pPr>
        <w:ind w:firstLine="640"/>
        <w:rPr>
          <w:rFonts w:hint="eastAsia" w:ascii="仿宋" w:hAnsi="仿宋" w:eastAsia="仿宋" w:cs="仿宋"/>
          <w:color w:val="auto"/>
          <w:sz w:val="32"/>
          <w:szCs w:val="32"/>
          <w:highlight w:val="none"/>
        </w:rPr>
        <w:sectPr>
          <w:headerReference r:id="rId11" w:type="default"/>
          <w:footerReference r:id="rId12" w:type="default"/>
          <w:pgSz w:w="11906" w:h="16838"/>
          <w:pgMar w:top="1417" w:right="1247" w:bottom="1417" w:left="1417" w:header="851" w:footer="992" w:gutter="0"/>
          <w:pgNumType w:fmt="decimal"/>
          <w:cols w:space="720" w:num="1"/>
          <w:docGrid w:type="lines" w:linePitch="312" w:charSpace="0"/>
        </w:sectPr>
      </w:pPr>
    </w:p>
    <w:p w14:paraId="572DCD4A">
      <w:pPr>
        <w:tabs>
          <w:tab w:val="left" w:pos="1800"/>
        </w:tabs>
        <w:spacing w:line="440" w:lineRule="exact"/>
        <w:ind w:firstLine="480" w:firstLineChars="20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 xml:space="preserve">甲方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发包方</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w:t>
      </w:r>
    </w:p>
    <w:p w14:paraId="013C4C2E">
      <w:pPr>
        <w:spacing w:line="440" w:lineRule="exact"/>
        <w:ind w:firstLine="480" w:firstLineChars="200"/>
        <w:jc w:val="left"/>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rPr>
        <w:t xml:space="preserve">乙方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承包方</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w:t>
      </w:r>
    </w:p>
    <w:p w14:paraId="13EE9825">
      <w:pPr>
        <w:spacing w:line="440" w:lineRule="exact"/>
        <w:ind w:firstLine="491" w:firstLineChars="205"/>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2"/>
          <w:highlight w:val="none"/>
        </w:rPr>
        <w:t>根据《中华人民共和国民法典》和《中华人民共和国建筑法》及其他有关法律、行政法规、遵循平等、自愿、公平和诚实信用</w:t>
      </w:r>
      <w:r>
        <w:rPr>
          <w:rFonts w:hint="eastAsia" w:ascii="仿宋" w:hAnsi="仿宋" w:eastAsia="仿宋" w:cs="仿宋"/>
          <w:color w:val="auto"/>
          <w:kern w:val="0"/>
          <w:sz w:val="24"/>
          <w:szCs w:val="22"/>
          <w:highlight w:val="none"/>
          <w:lang w:eastAsia="zh-CN"/>
        </w:rPr>
        <w:t>的</w:t>
      </w:r>
      <w:r>
        <w:rPr>
          <w:rFonts w:hint="eastAsia" w:ascii="仿宋" w:hAnsi="仿宋" w:eastAsia="仿宋" w:cs="仿宋"/>
          <w:color w:val="auto"/>
          <w:kern w:val="0"/>
          <w:sz w:val="24"/>
          <w:szCs w:val="22"/>
          <w:highlight w:val="none"/>
        </w:rPr>
        <w:t>原则，结合本工程具体情况，为明确在施工过程中甲乙双方的权利和义务，经双方协商一致，签订本合同。</w:t>
      </w:r>
      <w:r>
        <w:rPr>
          <w:rFonts w:hint="eastAsia" w:ascii="仿宋" w:hAnsi="仿宋" w:eastAsia="仿宋" w:cs="仿宋"/>
          <w:color w:val="auto"/>
          <w:kern w:val="0"/>
          <w:sz w:val="24"/>
          <w:szCs w:val="24"/>
          <w:highlight w:val="none"/>
        </w:rPr>
        <w:t xml:space="preserve">   </w:t>
      </w:r>
    </w:p>
    <w:p w14:paraId="3738DB1A">
      <w:pPr>
        <w:spacing w:line="480" w:lineRule="exact"/>
        <w:ind w:firstLine="482" w:firstLineChars="200"/>
        <w:jc w:val="center"/>
        <w:rPr>
          <w:rFonts w:hint="eastAsia" w:ascii="仿宋" w:hAnsi="仿宋" w:eastAsia="仿宋" w:cs="仿宋"/>
          <w:b/>
          <w:color w:val="auto"/>
          <w:kern w:val="0"/>
          <w:sz w:val="24"/>
          <w:szCs w:val="22"/>
          <w:highlight w:val="none"/>
        </w:rPr>
      </w:pPr>
    </w:p>
    <w:p w14:paraId="505C6B5C">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第一条  工程概况</w:t>
      </w:r>
    </w:p>
    <w:p w14:paraId="3C2465F1">
      <w:pPr>
        <w:spacing w:line="480" w:lineRule="exact"/>
        <w:ind w:firstLine="480" w:firstLineChars="200"/>
        <w:jc w:val="left"/>
        <w:rPr>
          <w:rFonts w:hint="eastAsia" w:ascii="仿宋" w:hAnsi="仿宋" w:eastAsia="仿宋" w:cs="仿宋"/>
          <w:color w:val="auto"/>
          <w:kern w:val="0"/>
          <w:sz w:val="24"/>
          <w:szCs w:val="22"/>
          <w:highlight w:val="none"/>
          <w:u w:val="none"/>
        </w:rPr>
      </w:pPr>
      <w:r>
        <w:rPr>
          <w:rFonts w:hint="eastAsia" w:ascii="仿宋" w:hAnsi="仿宋" w:eastAsia="仿宋" w:cs="仿宋"/>
          <w:color w:val="auto"/>
          <w:kern w:val="0"/>
          <w:sz w:val="24"/>
          <w:szCs w:val="22"/>
          <w:highlight w:val="none"/>
          <w:u w:val="none"/>
        </w:rPr>
        <w:t>1.工程名称：</w:t>
      </w:r>
    </w:p>
    <w:p w14:paraId="3DEC54CE">
      <w:pPr>
        <w:spacing w:line="480" w:lineRule="exact"/>
        <w:ind w:firstLine="480" w:firstLineChars="200"/>
        <w:jc w:val="left"/>
        <w:rPr>
          <w:rFonts w:hint="eastAsia" w:ascii="仿宋" w:hAnsi="仿宋" w:eastAsia="仿宋" w:cs="仿宋"/>
          <w:color w:val="auto"/>
          <w:kern w:val="0"/>
          <w:sz w:val="24"/>
          <w:szCs w:val="22"/>
          <w:highlight w:val="none"/>
          <w:u w:val="none"/>
          <w:lang w:val="en-US" w:eastAsia="zh-CN"/>
        </w:rPr>
      </w:pPr>
      <w:r>
        <w:rPr>
          <w:rFonts w:hint="eastAsia" w:ascii="仿宋" w:hAnsi="仿宋" w:eastAsia="仿宋" w:cs="仿宋"/>
          <w:color w:val="auto"/>
          <w:kern w:val="0"/>
          <w:sz w:val="24"/>
          <w:szCs w:val="22"/>
          <w:highlight w:val="none"/>
          <w:u w:val="none"/>
        </w:rPr>
        <w:t>2.工程地点：</w:t>
      </w:r>
    </w:p>
    <w:p w14:paraId="1C0E14CE">
      <w:pPr>
        <w:spacing w:line="480" w:lineRule="exact"/>
        <w:ind w:firstLine="480" w:firstLineChars="200"/>
        <w:jc w:val="left"/>
        <w:rPr>
          <w:rFonts w:hint="eastAsia" w:ascii="仿宋" w:hAnsi="仿宋" w:eastAsia="仿宋" w:cs="仿宋"/>
          <w:color w:val="auto"/>
          <w:kern w:val="0"/>
          <w:sz w:val="24"/>
          <w:szCs w:val="22"/>
          <w:highlight w:val="none"/>
          <w:u w:val="none"/>
        </w:rPr>
      </w:pPr>
      <w:r>
        <w:rPr>
          <w:rFonts w:hint="eastAsia" w:ascii="仿宋" w:hAnsi="仿宋" w:eastAsia="仿宋" w:cs="仿宋"/>
          <w:color w:val="auto"/>
          <w:kern w:val="0"/>
          <w:sz w:val="24"/>
          <w:szCs w:val="22"/>
          <w:highlight w:val="none"/>
          <w:u w:val="none"/>
        </w:rPr>
        <w:t>3.承包工程内容：</w:t>
      </w:r>
    </w:p>
    <w:p w14:paraId="4D3AFCAA">
      <w:pPr>
        <w:spacing w:line="440" w:lineRule="exact"/>
        <w:ind w:firstLine="491" w:firstLineChars="205"/>
        <w:jc w:val="left"/>
        <w:rPr>
          <w:rFonts w:hint="eastAsia" w:ascii="仿宋" w:hAnsi="仿宋" w:eastAsia="仿宋" w:cs="仿宋"/>
          <w:color w:val="auto"/>
          <w:kern w:val="0"/>
          <w:sz w:val="24"/>
          <w:szCs w:val="22"/>
          <w:highlight w:val="none"/>
          <w:u w:val="none"/>
          <w:lang w:val="en-US" w:eastAsia="zh-CN"/>
        </w:rPr>
      </w:pPr>
      <w:r>
        <w:rPr>
          <w:rFonts w:hint="eastAsia" w:ascii="仿宋" w:hAnsi="仿宋" w:eastAsia="仿宋" w:cs="仿宋"/>
          <w:color w:val="auto"/>
          <w:kern w:val="0"/>
          <w:sz w:val="24"/>
          <w:szCs w:val="22"/>
          <w:highlight w:val="none"/>
          <w:u w:val="none"/>
        </w:rPr>
        <w:t>4.工程质量：</w:t>
      </w:r>
      <w:r>
        <w:rPr>
          <w:rFonts w:hint="eastAsia" w:ascii="仿宋" w:hAnsi="仿宋" w:eastAsia="仿宋" w:cs="仿宋"/>
          <w:b w:val="0"/>
          <w:bCs w:val="0"/>
          <w:color w:val="auto"/>
          <w:kern w:val="0"/>
          <w:sz w:val="24"/>
          <w:szCs w:val="24"/>
          <w:highlight w:val="none"/>
          <w:u w:val="none"/>
        </w:rPr>
        <w:t>符合国家质量验收备案标准</w:t>
      </w:r>
      <w:r>
        <w:rPr>
          <w:rFonts w:hint="eastAsia" w:ascii="仿宋" w:hAnsi="仿宋" w:eastAsia="仿宋" w:cs="仿宋"/>
          <w:b w:val="0"/>
          <w:bCs w:val="0"/>
          <w:color w:val="auto"/>
          <w:kern w:val="0"/>
          <w:sz w:val="24"/>
          <w:szCs w:val="24"/>
          <w:highlight w:val="none"/>
          <w:u w:val="none"/>
          <w:lang w:eastAsia="zh-CN"/>
        </w:rPr>
        <w:t>。</w:t>
      </w:r>
    </w:p>
    <w:p w14:paraId="4F9990A0">
      <w:pPr>
        <w:spacing w:line="480" w:lineRule="exact"/>
        <w:ind w:firstLine="480" w:firstLineChars="200"/>
        <w:jc w:val="left"/>
        <w:rPr>
          <w:rFonts w:hint="eastAsia" w:ascii="仿宋" w:hAnsi="仿宋" w:eastAsia="仿宋" w:cs="仿宋"/>
          <w:color w:val="auto"/>
          <w:kern w:val="0"/>
          <w:sz w:val="24"/>
          <w:szCs w:val="22"/>
          <w:highlight w:val="none"/>
          <w:u w:val="none"/>
          <w:lang w:val="en-US" w:eastAsia="zh-CN"/>
        </w:rPr>
      </w:pPr>
      <w:r>
        <w:rPr>
          <w:rFonts w:hint="eastAsia" w:ascii="仿宋" w:hAnsi="仿宋" w:eastAsia="仿宋" w:cs="仿宋"/>
          <w:color w:val="auto"/>
          <w:kern w:val="0"/>
          <w:sz w:val="24"/>
          <w:szCs w:val="22"/>
          <w:highlight w:val="none"/>
          <w:u w:val="none"/>
        </w:rPr>
        <w:t>5.工程价款：</w:t>
      </w:r>
    </w:p>
    <w:p w14:paraId="498A4348">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rPr>
        <w:t>6.承包方式：本工程实行包施工、包材料、包工期、包质量、包安全、包工农关系、包中标价</w:t>
      </w:r>
      <w:r>
        <w:rPr>
          <w:rFonts w:hint="eastAsia" w:ascii="仿宋" w:hAnsi="仿宋" w:eastAsia="仿宋" w:cs="仿宋"/>
          <w:color w:val="auto"/>
          <w:kern w:val="0"/>
          <w:sz w:val="24"/>
          <w:szCs w:val="22"/>
          <w:highlight w:val="none"/>
          <w:lang w:val="en-US" w:eastAsia="zh-CN"/>
        </w:rPr>
        <w:t>、包税金</w:t>
      </w:r>
      <w:r>
        <w:rPr>
          <w:rFonts w:hint="eastAsia" w:ascii="仿宋" w:hAnsi="仿宋" w:eastAsia="仿宋" w:cs="仿宋"/>
          <w:color w:val="auto"/>
          <w:kern w:val="0"/>
          <w:sz w:val="24"/>
          <w:szCs w:val="22"/>
          <w:highlight w:val="none"/>
        </w:rPr>
        <w:t>的总承包方式</w:t>
      </w:r>
      <w:r>
        <w:rPr>
          <w:rFonts w:hint="eastAsia" w:ascii="仿宋" w:hAnsi="仿宋" w:eastAsia="仿宋" w:cs="仿宋"/>
          <w:color w:val="auto"/>
          <w:kern w:val="0"/>
          <w:sz w:val="24"/>
          <w:szCs w:val="22"/>
          <w:highlight w:val="none"/>
          <w:lang w:eastAsia="zh-CN"/>
        </w:rPr>
        <w:t>。</w:t>
      </w:r>
    </w:p>
    <w:p w14:paraId="07A30B0A">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rPr>
        <w:t>7.合同价款结算原则：按中标价结算。在施工结算时，除合同明确的设计变更</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签证</w:t>
      </w:r>
      <w:r>
        <w:rPr>
          <w:rFonts w:hint="eastAsia" w:ascii="仿宋" w:hAnsi="仿宋" w:eastAsia="仿宋" w:cs="仿宋"/>
          <w:color w:val="auto"/>
          <w:kern w:val="0"/>
          <w:sz w:val="24"/>
          <w:szCs w:val="22"/>
          <w:highlight w:val="none"/>
        </w:rPr>
        <w:t>等调整条件外，</w:t>
      </w:r>
      <w:r>
        <w:rPr>
          <w:rFonts w:hint="eastAsia" w:ascii="仿宋" w:hAnsi="仿宋" w:eastAsia="仿宋" w:cs="仿宋"/>
          <w:color w:val="auto"/>
          <w:kern w:val="0"/>
          <w:sz w:val="24"/>
          <w:szCs w:val="22"/>
          <w:highlight w:val="none"/>
          <w:lang w:eastAsia="zh-CN"/>
        </w:rPr>
        <w:t>其他</w:t>
      </w:r>
      <w:r>
        <w:rPr>
          <w:rFonts w:hint="eastAsia" w:ascii="仿宋" w:hAnsi="仿宋" w:eastAsia="仿宋" w:cs="仿宋"/>
          <w:color w:val="auto"/>
          <w:kern w:val="0"/>
          <w:sz w:val="24"/>
          <w:szCs w:val="22"/>
          <w:highlight w:val="none"/>
        </w:rPr>
        <w:t>不予调整。</w:t>
      </w:r>
      <w:r>
        <w:rPr>
          <w:rFonts w:hint="eastAsia" w:ascii="仿宋" w:hAnsi="仿宋" w:eastAsia="仿宋" w:cs="仿宋"/>
          <w:color w:val="auto"/>
          <w:kern w:val="0"/>
          <w:sz w:val="24"/>
          <w:szCs w:val="22"/>
          <w:highlight w:val="none"/>
          <w:lang w:val="en-US" w:eastAsia="zh-CN"/>
        </w:rPr>
        <w:t>如发生</w:t>
      </w:r>
      <w:r>
        <w:rPr>
          <w:rFonts w:hint="eastAsia" w:ascii="仿宋" w:hAnsi="仿宋" w:eastAsia="仿宋" w:cs="仿宋"/>
          <w:color w:val="auto"/>
          <w:kern w:val="0"/>
          <w:sz w:val="24"/>
          <w:szCs w:val="22"/>
          <w:highlight w:val="none"/>
        </w:rPr>
        <w:t>工程变更、签证引起的价款调整</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分部分项工程的工程量清单中有适用于变更工程项目的</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且工程量变化幅度不超过清单工程量的10%</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含10%</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时，采用该项目的单价。</w:t>
      </w:r>
    </w:p>
    <w:p w14:paraId="45AE8EF3">
      <w:pPr>
        <w:spacing w:line="480" w:lineRule="exact"/>
        <w:ind w:firstLine="480" w:firstLineChars="200"/>
        <w:jc w:val="center"/>
        <w:rPr>
          <w:rFonts w:hint="eastAsia" w:ascii="仿宋" w:hAnsi="仿宋" w:eastAsia="仿宋" w:cs="仿宋"/>
          <w:color w:val="auto"/>
          <w:kern w:val="0"/>
          <w:sz w:val="24"/>
          <w:szCs w:val="22"/>
          <w:highlight w:val="none"/>
        </w:rPr>
      </w:pPr>
    </w:p>
    <w:p w14:paraId="0022D8DD">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第二条  合同书的组成</w:t>
      </w:r>
    </w:p>
    <w:p w14:paraId="4FB6FB0D">
      <w:pPr>
        <w:tabs>
          <w:tab w:val="center" w:pos="4838"/>
          <w:tab w:val="left" w:pos="7629"/>
        </w:tabs>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1.合同及协议条款。</w:t>
      </w:r>
    </w:p>
    <w:p w14:paraId="3A469DF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2.洽谈、变更等明确双方权利和义务的纪要协议。</w:t>
      </w:r>
    </w:p>
    <w:p w14:paraId="0EBB4FB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3.招标承包工程中的中标通知书、投标文件、招标文件、招标答疑文件。</w:t>
      </w:r>
    </w:p>
    <w:p w14:paraId="288BAF2B">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4.施工图纸和工程量表。</w:t>
      </w:r>
    </w:p>
    <w:p w14:paraId="0301A9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5.标准、规范和其他有关技术资料、技术要求。当合同文件出现含糊不清或不一致时，在不影响工程进度的情况下，由双方协商解决。双方意见不一致的，报请合同签约地人民法院裁决。</w:t>
      </w:r>
    </w:p>
    <w:p w14:paraId="1406B680">
      <w:pPr>
        <w:spacing w:line="480" w:lineRule="exact"/>
        <w:ind w:firstLine="482" w:firstLineChars="200"/>
        <w:jc w:val="center"/>
        <w:rPr>
          <w:rFonts w:hint="eastAsia" w:ascii="仿宋" w:hAnsi="仿宋" w:eastAsia="仿宋" w:cs="仿宋"/>
          <w:b/>
          <w:color w:val="auto"/>
          <w:kern w:val="0"/>
          <w:sz w:val="24"/>
          <w:szCs w:val="22"/>
          <w:highlight w:val="none"/>
        </w:rPr>
      </w:pPr>
    </w:p>
    <w:p w14:paraId="5208E09A">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第三条  合同文件使用的标准和适用的法律</w:t>
      </w:r>
    </w:p>
    <w:p w14:paraId="29418AC1">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1.适用法律、法规：国家、部门的</w:t>
      </w:r>
      <w:r>
        <w:rPr>
          <w:rFonts w:hint="eastAsia" w:ascii="仿宋" w:hAnsi="仿宋" w:eastAsia="仿宋" w:cs="仿宋"/>
          <w:color w:val="auto"/>
          <w:kern w:val="0"/>
          <w:sz w:val="24"/>
          <w:szCs w:val="22"/>
          <w:highlight w:val="none"/>
          <w:lang w:eastAsia="zh-CN"/>
        </w:rPr>
        <w:t>法律法规</w:t>
      </w:r>
      <w:r>
        <w:rPr>
          <w:rFonts w:hint="eastAsia" w:ascii="仿宋" w:hAnsi="仿宋" w:eastAsia="仿宋" w:cs="仿宋"/>
          <w:color w:val="auto"/>
          <w:kern w:val="0"/>
          <w:sz w:val="24"/>
          <w:szCs w:val="22"/>
          <w:highlight w:val="none"/>
        </w:rPr>
        <w:t>、规章都适用于本合同文本。如对同一问题要求不一致时，则按下列顺序优先执行：国家</w:t>
      </w:r>
      <w:r>
        <w:rPr>
          <w:rFonts w:hint="eastAsia" w:ascii="仿宋" w:hAnsi="仿宋" w:eastAsia="仿宋" w:cs="仿宋"/>
          <w:color w:val="auto"/>
          <w:kern w:val="0"/>
          <w:sz w:val="24"/>
          <w:szCs w:val="22"/>
          <w:highlight w:val="none"/>
          <w:lang w:eastAsia="zh-CN"/>
        </w:rPr>
        <w:t>法律法规</w:t>
      </w:r>
      <w:r>
        <w:rPr>
          <w:rFonts w:hint="eastAsia" w:ascii="仿宋" w:hAnsi="仿宋" w:eastAsia="仿宋" w:cs="仿宋"/>
          <w:color w:val="auto"/>
          <w:kern w:val="0"/>
          <w:sz w:val="24"/>
          <w:szCs w:val="22"/>
          <w:highlight w:val="none"/>
        </w:rPr>
        <w:t>，部门规章。</w:t>
      </w:r>
    </w:p>
    <w:p w14:paraId="28EBE402">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2.适用标准、规范：乙方必须使用国家统一标准、规范，若国家没有统一标准规范时，可以使用专业标准规范，各种标准规范不一致时，则按以下顺序优先执行：国家标准、规范，专业标准、规范。</w:t>
      </w:r>
    </w:p>
    <w:p w14:paraId="670F6312">
      <w:pPr>
        <w:spacing w:line="480" w:lineRule="exact"/>
        <w:ind w:firstLine="482" w:firstLineChars="200"/>
        <w:jc w:val="center"/>
        <w:rPr>
          <w:rFonts w:hint="eastAsia" w:ascii="仿宋" w:hAnsi="仿宋" w:eastAsia="仿宋" w:cs="仿宋"/>
          <w:b/>
          <w:color w:val="auto"/>
          <w:kern w:val="0"/>
          <w:sz w:val="24"/>
          <w:szCs w:val="22"/>
          <w:highlight w:val="none"/>
        </w:rPr>
      </w:pPr>
    </w:p>
    <w:p w14:paraId="7E6ADDFD">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第四条  施工图及设计资料</w:t>
      </w:r>
    </w:p>
    <w:p w14:paraId="440B510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 xml:space="preserve">l.乙方的施工依据是：甲方提供的施工图纸或设计变更通知，其它设计文件不作为施工依据。 </w:t>
      </w:r>
    </w:p>
    <w:p w14:paraId="50EB1759">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w:t>
      </w:r>
      <w:r>
        <w:rPr>
          <w:rFonts w:hint="eastAsia" w:ascii="仿宋" w:hAnsi="仿宋" w:eastAsia="仿宋" w:cs="仿宋"/>
          <w:color w:val="auto"/>
          <w:kern w:val="0"/>
          <w:sz w:val="24"/>
          <w:szCs w:val="22"/>
          <w:highlight w:val="none"/>
          <w:u w:val="none"/>
        </w:rPr>
        <w:t>.设计变</w:t>
      </w:r>
      <w:r>
        <w:rPr>
          <w:rFonts w:hint="eastAsia" w:ascii="仿宋" w:hAnsi="仿宋" w:eastAsia="仿宋" w:cs="仿宋"/>
          <w:color w:val="auto"/>
          <w:kern w:val="0"/>
          <w:sz w:val="24"/>
          <w:szCs w:val="22"/>
          <w:highlight w:val="none"/>
        </w:rPr>
        <w:t>更必须经原设计单位负责人和甲方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指定的负责人签字后生效，乙方指定专人负责签收设计文件。</w:t>
      </w:r>
    </w:p>
    <w:p w14:paraId="2B94AC0F">
      <w:pPr>
        <w:spacing w:line="480" w:lineRule="exact"/>
        <w:ind w:firstLine="482" w:firstLineChars="200"/>
        <w:jc w:val="center"/>
        <w:rPr>
          <w:rFonts w:hint="eastAsia" w:ascii="仿宋" w:hAnsi="仿宋" w:eastAsia="仿宋" w:cs="仿宋"/>
          <w:b/>
          <w:color w:val="auto"/>
          <w:kern w:val="0"/>
          <w:sz w:val="24"/>
          <w:szCs w:val="22"/>
          <w:highlight w:val="none"/>
        </w:rPr>
      </w:pPr>
    </w:p>
    <w:p w14:paraId="0175542E">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第五条  双方责任</w:t>
      </w:r>
    </w:p>
    <w:p w14:paraId="006397B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1.工程师</w:t>
      </w:r>
    </w:p>
    <w:p w14:paraId="2DAC5FAF">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1.1甲方派驻的工程师</w:t>
      </w:r>
    </w:p>
    <w:p w14:paraId="2D8AB690">
      <w:pPr>
        <w:spacing w:line="480" w:lineRule="exact"/>
        <w:ind w:firstLine="480" w:firstLineChars="200"/>
        <w:jc w:val="left"/>
        <w:rPr>
          <w:rFonts w:hint="eastAsia" w:ascii="仿宋" w:hAnsi="仿宋" w:eastAsia="仿宋" w:cs="仿宋"/>
          <w:color w:val="auto"/>
          <w:kern w:val="0"/>
          <w:sz w:val="24"/>
          <w:szCs w:val="22"/>
          <w:highlight w:val="none"/>
          <w:u w:val="single"/>
          <w:lang w:val="en-US" w:eastAsia="zh-CN"/>
        </w:rPr>
      </w:pPr>
      <w:r>
        <w:rPr>
          <w:rFonts w:hint="eastAsia" w:ascii="仿宋" w:hAnsi="仿宋" w:eastAsia="仿宋" w:cs="仿宋"/>
          <w:color w:val="auto"/>
          <w:kern w:val="0"/>
          <w:sz w:val="24"/>
          <w:szCs w:val="22"/>
          <w:highlight w:val="none"/>
        </w:rPr>
        <w:t>姓名：</w:t>
      </w:r>
      <w:r>
        <w:rPr>
          <w:rFonts w:hint="eastAsia" w:ascii="仿宋" w:hAnsi="仿宋" w:eastAsia="仿宋" w:cs="仿宋"/>
          <w:color w:val="auto"/>
          <w:kern w:val="0"/>
          <w:sz w:val="24"/>
          <w:szCs w:val="22"/>
          <w:highlight w:val="none"/>
          <w:u w:val="single"/>
          <w:lang w:val="en-US" w:eastAsia="zh-CN"/>
        </w:rPr>
        <w:t xml:space="preserve">             </w:t>
      </w:r>
      <w:r>
        <w:rPr>
          <w:rFonts w:hint="eastAsia" w:ascii="仿宋" w:hAnsi="仿宋" w:eastAsia="仿宋" w:cs="仿宋"/>
          <w:color w:val="auto"/>
          <w:kern w:val="0"/>
          <w:sz w:val="24"/>
          <w:szCs w:val="22"/>
          <w:highlight w:val="none"/>
          <w:lang w:val="en-US" w:eastAsia="zh-CN"/>
        </w:rPr>
        <w:t>电话</w:t>
      </w:r>
      <w:r>
        <w:rPr>
          <w:rFonts w:hint="eastAsia" w:ascii="仿宋" w:hAnsi="仿宋" w:eastAsia="仿宋" w:cs="仿宋"/>
          <w:color w:val="auto"/>
          <w:kern w:val="0"/>
          <w:sz w:val="24"/>
          <w:szCs w:val="22"/>
          <w:highlight w:val="none"/>
        </w:rPr>
        <w:t>：</w:t>
      </w:r>
      <w:r>
        <w:rPr>
          <w:rFonts w:hint="eastAsia" w:ascii="仿宋" w:hAnsi="仿宋" w:eastAsia="仿宋" w:cs="仿宋"/>
          <w:color w:val="auto"/>
          <w:kern w:val="0"/>
          <w:sz w:val="24"/>
          <w:szCs w:val="22"/>
          <w:highlight w:val="none"/>
          <w:u w:val="single"/>
          <w:lang w:val="en-US" w:eastAsia="zh-CN"/>
        </w:rPr>
        <w:t xml:space="preserve">             </w:t>
      </w:r>
    </w:p>
    <w:p w14:paraId="789C5826">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职权：对乙方进行综合管理及协调。工程变更及工程价款的调整需要</w:t>
      </w:r>
      <w:r>
        <w:rPr>
          <w:rFonts w:hint="eastAsia" w:ascii="仿宋" w:hAnsi="仿宋" w:eastAsia="仿宋" w:cs="仿宋"/>
          <w:color w:val="auto"/>
          <w:kern w:val="0"/>
          <w:sz w:val="24"/>
          <w:szCs w:val="22"/>
          <w:highlight w:val="none"/>
          <w:lang w:val="en-US" w:eastAsia="zh-CN"/>
        </w:rPr>
        <w:t>甲方</w:t>
      </w:r>
      <w:r>
        <w:rPr>
          <w:rFonts w:hint="eastAsia" w:ascii="仿宋" w:hAnsi="仿宋" w:eastAsia="仿宋" w:cs="仿宋"/>
          <w:color w:val="auto"/>
          <w:kern w:val="0"/>
          <w:sz w:val="24"/>
          <w:szCs w:val="22"/>
          <w:highlight w:val="none"/>
        </w:rPr>
        <w:t>另行特别书面授权。</w:t>
      </w:r>
    </w:p>
    <w:p w14:paraId="4C5A67F7">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1.2乙方项目负责人</w:t>
      </w:r>
    </w:p>
    <w:p w14:paraId="79A96B43">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u w:val="none"/>
        </w:rPr>
        <w:t>姓名：</w:t>
      </w:r>
      <w:r>
        <w:rPr>
          <w:rFonts w:hint="eastAsia" w:ascii="仿宋" w:hAnsi="仿宋" w:eastAsia="仿宋" w:cs="仿宋"/>
          <w:color w:val="auto"/>
          <w:kern w:val="0"/>
          <w:sz w:val="24"/>
          <w:szCs w:val="22"/>
          <w:highlight w:val="none"/>
          <w:u w:val="single"/>
          <w:lang w:val="en-US" w:eastAsia="zh-CN"/>
        </w:rPr>
        <w:t xml:space="preserve">             </w:t>
      </w:r>
      <w:r>
        <w:rPr>
          <w:rFonts w:hint="eastAsia" w:ascii="仿宋" w:hAnsi="仿宋" w:eastAsia="仿宋" w:cs="仿宋"/>
          <w:color w:val="auto"/>
          <w:kern w:val="0"/>
          <w:sz w:val="24"/>
          <w:szCs w:val="22"/>
          <w:highlight w:val="none"/>
          <w:u w:val="none"/>
        </w:rPr>
        <w:t xml:space="preserve"> </w:t>
      </w:r>
      <w:r>
        <w:rPr>
          <w:rFonts w:hint="eastAsia" w:ascii="仿宋" w:hAnsi="仿宋" w:eastAsia="仿宋" w:cs="仿宋"/>
          <w:color w:val="auto"/>
          <w:kern w:val="0"/>
          <w:sz w:val="24"/>
          <w:szCs w:val="22"/>
          <w:highlight w:val="none"/>
          <w:u w:val="none"/>
          <w:lang w:val="en-US" w:eastAsia="zh-CN"/>
        </w:rPr>
        <w:t>电话</w:t>
      </w:r>
      <w:r>
        <w:rPr>
          <w:rFonts w:hint="eastAsia" w:ascii="仿宋" w:hAnsi="仿宋" w:eastAsia="仿宋" w:cs="仿宋"/>
          <w:color w:val="auto"/>
          <w:kern w:val="0"/>
          <w:sz w:val="24"/>
          <w:szCs w:val="22"/>
          <w:highlight w:val="none"/>
          <w:u w:val="none"/>
        </w:rPr>
        <w:t>：</w:t>
      </w:r>
      <w:r>
        <w:rPr>
          <w:rFonts w:hint="eastAsia" w:ascii="仿宋" w:hAnsi="仿宋" w:eastAsia="仿宋" w:cs="仿宋"/>
          <w:color w:val="auto"/>
          <w:kern w:val="0"/>
          <w:sz w:val="24"/>
          <w:szCs w:val="22"/>
          <w:highlight w:val="none"/>
          <w:u w:val="single"/>
          <w:lang w:val="en-US" w:eastAsia="zh-CN"/>
        </w:rPr>
        <w:t xml:space="preserve">             </w:t>
      </w:r>
      <w:r>
        <w:rPr>
          <w:rFonts w:hint="eastAsia" w:ascii="仿宋" w:hAnsi="仿宋" w:eastAsia="仿宋" w:cs="仿宋"/>
          <w:color w:val="auto"/>
          <w:kern w:val="0"/>
          <w:sz w:val="24"/>
          <w:szCs w:val="22"/>
          <w:highlight w:val="none"/>
          <w:u w:val="none"/>
          <w:lang w:val="en-US" w:eastAsia="zh-CN"/>
        </w:rPr>
        <w:t xml:space="preserve">注册编号： </w:t>
      </w:r>
      <w:r>
        <w:rPr>
          <w:rFonts w:hint="eastAsia" w:ascii="仿宋" w:hAnsi="仿宋" w:eastAsia="仿宋" w:cs="仿宋"/>
          <w:color w:val="auto"/>
          <w:kern w:val="0"/>
          <w:sz w:val="24"/>
          <w:szCs w:val="22"/>
          <w:highlight w:val="none"/>
          <w:u w:val="single"/>
          <w:lang w:val="en-US" w:eastAsia="zh-CN"/>
        </w:rPr>
        <w:t xml:space="preserve">             </w:t>
      </w:r>
      <w:r>
        <w:rPr>
          <w:rFonts w:hint="eastAsia" w:ascii="仿宋" w:hAnsi="仿宋" w:eastAsia="仿宋" w:cs="仿宋"/>
          <w:color w:val="auto"/>
          <w:kern w:val="0"/>
          <w:sz w:val="24"/>
          <w:szCs w:val="22"/>
          <w:highlight w:val="none"/>
          <w:u w:val="none"/>
          <w:lang w:val="en-US" w:eastAsia="zh-CN"/>
        </w:rPr>
        <w:t>，</w:t>
      </w:r>
      <w:r>
        <w:rPr>
          <w:rFonts w:hint="eastAsia" w:ascii="仿宋" w:hAnsi="仿宋" w:eastAsia="仿宋" w:cs="仿宋"/>
          <w:color w:val="auto"/>
          <w:kern w:val="0"/>
          <w:sz w:val="24"/>
          <w:szCs w:val="22"/>
          <w:highlight w:val="none"/>
        </w:rPr>
        <w:t>每月项目经理必须在项目部工作</w:t>
      </w:r>
      <w:r>
        <w:rPr>
          <w:rFonts w:hint="eastAsia" w:ascii="仿宋" w:hAnsi="仿宋" w:eastAsia="仿宋" w:cs="仿宋"/>
          <w:color w:val="auto"/>
          <w:kern w:val="0"/>
          <w:sz w:val="24"/>
          <w:szCs w:val="22"/>
          <w:highlight w:val="none"/>
          <w:lang w:val="en-US" w:eastAsia="zh-CN"/>
        </w:rPr>
        <w:t>不少于</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b w:val="0"/>
          <w:bCs w:val="0"/>
          <w:color w:val="auto"/>
          <w:kern w:val="0"/>
          <w:sz w:val="24"/>
          <w:szCs w:val="22"/>
          <w:highlight w:val="none"/>
          <w:lang w:val="en-US" w:eastAsia="zh-CN"/>
        </w:rPr>
        <w:t>日历天</w:t>
      </w:r>
      <w:r>
        <w:rPr>
          <w:rFonts w:hint="eastAsia" w:ascii="仿宋" w:hAnsi="仿宋" w:eastAsia="仿宋" w:cs="仿宋"/>
          <w:color w:val="auto"/>
          <w:kern w:val="0"/>
          <w:sz w:val="24"/>
          <w:szCs w:val="22"/>
          <w:highlight w:val="none"/>
        </w:rPr>
        <w:t>，每少一天向甲方支付违约金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元</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从工程进度款中扣减</w:t>
      </w:r>
      <w:r>
        <w:rPr>
          <w:rFonts w:hint="eastAsia" w:ascii="仿宋" w:hAnsi="仿宋" w:eastAsia="仿宋" w:cs="仿宋"/>
          <w:color w:val="auto"/>
          <w:kern w:val="0"/>
          <w:sz w:val="24"/>
          <w:szCs w:val="22"/>
          <w:highlight w:val="none"/>
        </w:rPr>
        <w:t>。</w:t>
      </w:r>
    </w:p>
    <w:p w14:paraId="401D9A85">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项目经理不得变更。项目经理必须保证身体健康，能胜任本项目的工作，若出现心脏病等重大疾病或意外事故难以胜任的，经甲方同意，应依据《河南省规范项目经理和项目总监任职行为的若干规定（试行）》办理变更手续，并支付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lang w:val="en-US" w:eastAsia="zh-CN"/>
        </w:rPr>
        <w:t>万元/人，更换后的新任项目经理应具有原中标项目经理同等资质和相当业绩。</w:t>
      </w:r>
    </w:p>
    <w:p w14:paraId="23025E2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2.甲方一般责任</w:t>
      </w:r>
    </w:p>
    <w:p w14:paraId="71771648">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2.1根据工程进度负责办理进度拨款和结算手续。</w:t>
      </w:r>
    </w:p>
    <w:p w14:paraId="2A3CD17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2.2开工前向乙方提供施工用电</w:t>
      </w:r>
      <w:r>
        <w:rPr>
          <w:rFonts w:hint="eastAsia" w:ascii="仿宋" w:hAnsi="仿宋" w:eastAsia="仿宋" w:cs="仿宋"/>
          <w:color w:val="auto"/>
          <w:kern w:val="0"/>
          <w:sz w:val="24"/>
          <w:szCs w:val="22"/>
          <w:highlight w:val="none"/>
          <w:lang w:val="en-US" w:eastAsia="zh-CN"/>
        </w:rPr>
        <w:t>、用水</w:t>
      </w:r>
      <w:r>
        <w:rPr>
          <w:rFonts w:hint="eastAsia" w:ascii="仿宋" w:hAnsi="仿宋" w:eastAsia="仿宋" w:cs="仿宋"/>
          <w:color w:val="auto"/>
          <w:kern w:val="0"/>
          <w:sz w:val="24"/>
          <w:szCs w:val="22"/>
          <w:highlight w:val="none"/>
        </w:rPr>
        <w:t>接口。</w:t>
      </w:r>
    </w:p>
    <w:p w14:paraId="3214ABC3">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2.3向乙方提供现场测量基准点。</w:t>
      </w:r>
    </w:p>
    <w:p w14:paraId="7873A24B">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2.4负责组织有关单位参加单位工程的竣工验收，组织有关单位和人员参加月末工程验收、质量检查、隐蔽工程检查、安全检查、文明施工检查。</w:t>
      </w:r>
    </w:p>
    <w:p w14:paraId="5FFB1AD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2.5负责审查乙方编制的施工组织设计并向乙方提供施工图纸设计资料。</w:t>
      </w:r>
    </w:p>
    <w:p w14:paraId="3407C18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2.6甲方应按合同约定拨付工程款</w:t>
      </w:r>
      <w:r>
        <w:rPr>
          <w:rFonts w:hint="eastAsia" w:ascii="仿宋" w:hAnsi="仿宋" w:eastAsia="仿宋" w:cs="仿宋"/>
          <w:color w:val="auto"/>
          <w:kern w:val="0"/>
          <w:sz w:val="24"/>
          <w:szCs w:val="22"/>
          <w:highlight w:val="none"/>
          <w:lang w:eastAsia="zh-CN"/>
        </w:rPr>
        <w:t>。</w:t>
      </w:r>
    </w:p>
    <w:p w14:paraId="0CCF1773">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 xml:space="preserve">3.乙方一般责任 </w:t>
      </w:r>
    </w:p>
    <w:p w14:paraId="77648AF8">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3.1负责处理施工现场周围和</w:t>
      </w:r>
      <w:r>
        <w:rPr>
          <w:rFonts w:hint="eastAsia" w:ascii="仿宋" w:hAnsi="仿宋" w:eastAsia="仿宋" w:cs="仿宋"/>
          <w:color w:val="auto"/>
          <w:kern w:val="0"/>
          <w:sz w:val="24"/>
          <w:szCs w:val="22"/>
          <w:highlight w:val="none"/>
          <w:lang w:eastAsia="zh-CN"/>
        </w:rPr>
        <w:t>邻近建筑物</w:t>
      </w:r>
      <w:r>
        <w:rPr>
          <w:rFonts w:hint="eastAsia" w:ascii="仿宋" w:hAnsi="仿宋" w:eastAsia="仿宋" w:cs="仿宋"/>
          <w:color w:val="auto"/>
          <w:kern w:val="0"/>
          <w:sz w:val="24"/>
          <w:szCs w:val="22"/>
          <w:highlight w:val="none"/>
        </w:rPr>
        <w:t>、构筑物的保护事宜，自行负责施工场地内设备移动堆放、道路修筑、管网线路设施及周围建筑物保护工作</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如造成损失由乙方负责赔偿。负责整修施工场地内施工用道，满足施工及材料、设备运输和存放的需要，费用由乙方承担</w:t>
      </w:r>
      <w:r>
        <w:rPr>
          <w:rFonts w:hint="eastAsia" w:ascii="仿宋" w:hAnsi="仿宋" w:eastAsia="仿宋" w:cs="仿宋"/>
          <w:color w:val="auto"/>
          <w:kern w:val="0"/>
          <w:sz w:val="24"/>
          <w:szCs w:val="22"/>
          <w:highlight w:val="none"/>
        </w:rPr>
        <w:t>。</w:t>
      </w:r>
    </w:p>
    <w:p w14:paraId="6EFECB7A">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3.2开工前</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天向甲方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提交经批准的施工组织设计和安全技术措施。</w:t>
      </w:r>
    </w:p>
    <w:p w14:paraId="11048B3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3.3及时向甲方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提交开工报告、施工进度计划、隐蔽工程验收通知及工程进展的有关信息资料和工程事故报告。</w:t>
      </w:r>
    </w:p>
    <w:p w14:paraId="002480C1">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3.4严格按国家颁布的现行施工及验收规范、质量检验评定标准以及设计方案技术要求进行施工，接受甲方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等有关单位的监督检查和协调。</w:t>
      </w:r>
    </w:p>
    <w:p w14:paraId="7F5546DA">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3.5乙方施工按规定填写施工日志，如实记载施工情况，并对工程进度、质量、安全负全部责任。</w:t>
      </w:r>
    </w:p>
    <w:p w14:paraId="158C87F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3.6工程具备竣工验收条件，乙方向甲方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提供完整竣工资料，按照通知时间参加工程竣工验收，工程竣工</w:t>
      </w:r>
      <w:r>
        <w:rPr>
          <w:rFonts w:hint="eastAsia" w:ascii="仿宋" w:hAnsi="仿宋" w:eastAsia="仿宋" w:cs="仿宋"/>
          <w:color w:val="auto"/>
          <w:kern w:val="0"/>
          <w:sz w:val="24"/>
          <w:szCs w:val="22"/>
          <w:highlight w:val="none"/>
          <w:lang w:val="en-US" w:eastAsia="zh-CN"/>
        </w:rPr>
        <w:t>28</w:t>
      </w:r>
      <w:r>
        <w:rPr>
          <w:rFonts w:hint="eastAsia" w:ascii="仿宋" w:hAnsi="仿宋" w:eastAsia="仿宋" w:cs="仿宋"/>
          <w:color w:val="auto"/>
          <w:kern w:val="0"/>
          <w:sz w:val="24"/>
          <w:szCs w:val="22"/>
          <w:highlight w:val="none"/>
        </w:rPr>
        <w:t>天内提交</w:t>
      </w:r>
      <w:r>
        <w:rPr>
          <w:rFonts w:hint="eastAsia" w:ascii="仿宋" w:hAnsi="仿宋" w:eastAsia="仿宋" w:cs="仿宋"/>
          <w:b w:val="0"/>
          <w:bCs w:val="0"/>
          <w:color w:val="auto"/>
          <w:kern w:val="0"/>
          <w:sz w:val="24"/>
          <w:szCs w:val="22"/>
          <w:highlight w:val="none"/>
        </w:rPr>
        <w:t>装订完整的竣工资料</w:t>
      </w:r>
      <w:r>
        <w:rPr>
          <w:rFonts w:hint="eastAsia" w:ascii="仿宋" w:hAnsi="仿宋" w:eastAsia="仿宋" w:cs="仿宋"/>
          <w:b w:val="0"/>
          <w:bCs w:val="0"/>
          <w:color w:val="auto"/>
          <w:kern w:val="0"/>
          <w:sz w:val="24"/>
          <w:szCs w:val="22"/>
          <w:highlight w:val="none"/>
          <w:lang w:val="en-US" w:eastAsia="zh-CN"/>
        </w:rPr>
        <w:t>六套</w:t>
      </w:r>
      <w:r>
        <w:rPr>
          <w:rFonts w:hint="eastAsia" w:ascii="仿宋" w:hAnsi="仿宋" w:eastAsia="仿宋" w:cs="仿宋"/>
          <w:b w:val="0"/>
          <w:bCs w:val="0"/>
          <w:color w:val="auto"/>
          <w:kern w:val="0"/>
          <w:sz w:val="24"/>
          <w:szCs w:val="22"/>
          <w:highlight w:val="none"/>
        </w:rPr>
        <w:t>（含交工资料、施工日志、竣工图）</w:t>
      </w:r>
      <w:r>
        <w:rPr>
          <w:rFonts w:hint="eastAsia" w:ascii="仿宋" w:hAnsi="仿宋" w:eastAsia="仿宋" w:cs="仿宋"/>
          <w:b w:val="0"/>
          <w:bCs w:val="0"/>
          <w:color w:val="auto"/>
          <w:kern w:val="0"/>
          <w:sz w:val="24"/>
          <w:szCs w:val="22"/>
          <w:highlight w:val="none"/>
          <w:lang w:val="en-US" w:eastAsia="zh-CN"/>
        </w:rPr>
        <w:t>、</w:t>
      </w:r>
      <w:r>
        <w:rPr>
          <w:rFonts w:hint="eastAsia" w:ascii="仿宋" w:hAnsi="仿宋" w:eastAsia="仿宋" w:cs="仿宋"/>
          <w:b w:val="0"/>
          <w:bCs w:val="0"/>
          <w:color w:val="auto"/>
          <w:kern w:val="0"/>
          <w:sz w:val="24"/>
          <w:szCs w:val="22"/>
          <w:highlight w:val="none"/>
        </w:rPr>
        <w:t>决算书及附件一式</w:t>
      </w:r>
      <w:r>
        <w:rPr>
          <w:rFonts w:hint="eastAsia" w:ascii="仿宋" w:hAnsi="仿宋" w:eastAsia="仿宋" w:cs="仿宋"/>
          <w:b w:val="0"/>
          <w:bCs w:val="0"/>
          <w:color w:val="auto"/>
          <w:kern w:val="0"/>
          <w:sz w:val="24"/>
          <w:szCs w:val="22"/>
          <w:highlight w:val="none"/>
          <w:lang w:val="en-US" w:eastAsia="zh-CN"/>
        </w:rPr>
        <w:t>六</w:t>
      </w:r>
      <w:r>
        <w:rPr>
          <w:rFonts w:hint="eastAsia" w:ascii="仿宋" w:hAnsi="仿宋" w:eastAsia="仿宋" w:cs="仿宋"/>
          <w:b w:val="0"/>
          <w:bCs w:val="0"/>
          <w:color w:val="auto"/>
          <w:kern w:val="0"/>
          <w:sz w:val="24"/>
          <w:szCs w:val="22"/>
          <w:highlight w:val="none"/>
        </w:rPr>
        <w:t>份</w:t>
      </w:r>
      <w:r>
        <w:rPr>
          <w:rFonts w:hint="eastAsia" w:ascii="仿宋" w:hAnsi="仿宋" w:eastAsia="仿宋" w:cs="仿宋"/>
          <w:b w:val="0"/>
          <w:bCs w:val="0"/>
          <w:color w:val="auto"/>
          <w:kern w:val="0"/>
          <w:sz w:val="24"/>
          <w:szCs w:val="22"/>
          <w:highlight w:val="none"/>
          <w:lang w:val="en-US" w:eastAsia="zh-CN"/>
        </w:rPr>
        <w:t>和1套完整的电子版文件。竣工资料和竣工图的编制内容和标准按照国家相关规定和甲方的要求执行，甲方有权做出补充要求。编制竣工资料的费用由乙方承担。乙方每推迟一天罚款</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b w:val="0"/>
          <w:bCs w:val="0"/>
          <w:color w:val="auto"/>
          <w:kern w:val="0"/>
          <w:sz w:val="24"/>
          <w:szCs w:val="22"/>
          <w:highlight w:val="none"/>
          <w:lang w:val="en-US" w:eastAsia="zh-CN"/>
        </w:rPr>
        <w:t>元，并在结算中直接扣除</w:t>
      </w:r>
      <w:r>
        <w:rPr>
          <w:rFonts w:hint="eastAsia" w:ascii="仿宋" w:hAnsi="仿宋" w:eastAsia="仿宋" w:cs="仿宋"/>
          <w:b w:val="0"/>
          <w:bCs w:val="0"/>
          <w:color w:val="auto"/>
          <w:kern w:val="0"/>
          <w:sz w:val="24"/>
          <w:szCs w:val="22"/>
          <w:highlight w:val="none"/>
        </w:rPr>
        <w:t xml:space="preserve">。 </w:t>
      </w:r>
    </w:p>
    <w:p w14:paraId="0236F538">
      <w:pPr>
        <w:spacing w:line="480" w:lineRule="exact"/>
        <w:ind w:firstLine="480" w:firstLineChars="200"/>
        <w:jc w:val="left"/>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lang w:val="en-US" w:eastAsia="zh-CN"/>
        </w:rPr>
        <w:t>3.7乙方递交的竣工资料，应符合相关法律法规要求，满足甲方办理房产不动产权证的要求。在办理过程中，出现资料不符合相关法律法规要求，乙方负责在</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lang w:val="en-US" w:eastAsia="zh-CN"/>
        </w:rPr>
        <w:t>日历天内整改完成，由此产生的所有费用由乙方承担。</w:t>
      </w:r>
      <w:r>
        <w:rPr>
          <w:rFonts w:hint="eastAsia" w:ascii="仿宋" w:hAnsi="仿宋" w:eastAsia="仿宋" w:cs="仿宋"/>
          <w:b w:val="0"/>
          <w:bCs w:val="0"/>
          <w:color w:val="auto"/>
          <w:kern w:val="0"/>
          <w:sz w:val="24"/>
          <w:szCs w:val="22"/>
          <w:highlight w:val="none"/>
        </w:rPr>
        <w:t xml:space="preserve"> </w:t>
      </w:r>
    </w:p>
    <w:p w14:paraId="305F2D85">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w:t>
      </w:r>
      <w:r>
        <w:rPr>
          <w:rFonts w:hint="eastAsia" w:ascii="仿宋" w:hAnsi="仿宋" w:eastAsia="仿宋" w:cs="仿宋"/>
          <w:color w:val="auto"/>
          <w:kern w:val="0"/>
          <w:sz w:val="24"/>
          <w:szCs w:val="22"/>
          <w:highlight w:val="none"/>
          <w:lang w:val="en-US" w:eastAsia="zh-CN"/>
        </w:rPr>
        <w:t>8</w:t>
      </w:r>
      <w:r>
        <w:rPr>
          <w:rFonts w:hint="eastAsia" w:ascii="仿宋" w:hAnsi="仿宋" w:eastAsia="仿宋" w:cs="仿宋"/>
          <w:color w:val="auto"/>
          <w:kern w:val="0"/>
          <w:sz w:val="24"/>
          <w:szCs w:val="22"/>
          <w:highlight w:val="none"/>
        </w:rPr>
        <w:t>乙方对所承担的工程在安全上全面负责，做好施工场地交通、环卫、环保和噪音等管理控制，保证与生产互不影响，做到安全施工、文明施工，要按有关规定采取严格的安全</w:t>
      </w:r>
      <w:r>
        <w:rPr>
          <w:rFonts w:hint="eastAsia" w:ascii="仿宋" w:hAnsi="仿宋" w:eastAsia="仿宋" w:cs="仿宋"/>
          <w:color w:val="auto"/>
          <w:kern w:val="0"/>
          <w:sz w:val="24"/>
          <w:szCs w:val="22"/>
          <w:highlight w:val="none"/>
          <w:lang w:val="en-US" w:eastAsia="zh-CN"/>
        </w:rPr>
        <w:t>、环保和文明施工</w:t>
      </w:r>
      <w:r>
        <w:rPr>
          <w:rFonts w:hint="eastAsia" w:ascii="仿宋" w:hAnsi="仿宋" w:eastAsia="仿宋" w:cs="仿宋"/>
          <w:color w:val="auto"/>
          <w:kern w:val="0"/>
          <w:sz w:val="24"/>
          <w:szCs w:val="22"/>
          <w:highlight w:val="none"/>
        </w:rPr>
        <w:t>措施，承担</w:t>
      </w:r>
      <w:r>
        <w:rPr>
          <w:rFonts w:hint="eastAsia" w:ascii="仿宋" w:hAnsi="仿宋" w:eastAsia="仿宋" w:cs="仿宋"/>
          <w:color w:val="auto"/>
          <w:kern w:val="0"/>
          <w:sz w:val="24"/>
          <w:szCs w:val="22"/>
          <w:highlight w:val="none"/>
          <w:lang w:val="en-US" w:eastAsia="zh-CN"/>
        </w:rPr>
        <w:t>工程</w:t>
      </w:r>
      <w:r>
        <w:rPr>
          <w:rFonts w:hint="eastAsia" w:ascii="仿宋" w:hAnsi="仿宋" w:eastAsia="仿宋" w:cs="仿宋"/>
          <w:color w:val="auto"/>
          <w:kern w:val="0"/>
          <w:sz w:val="24"/>
          <w:szCs w:val="22"/>
          <w:highlight w:val="none"/>
        </w:rPr>
        <w:t>事故</w:t>
      </w:r>
      <w:r>
        <w:rPr>
          <w:rFonts w:hint="eastAsia" w:ascii="仿宋" w:hAnsi="仿宋" w:eastAsia="仿宋" w:cs="仿宋"/>
          <w:color w:val="auto"/>
          <w:kern w:val="0"/>
          <w:sz w:val="24"/>
          <w:szCs w:val="22"/>
          <w:highlight w:val="none"/>
          <w:lang w:val="en-US" w:eastAsia="zh-CN"/>
        </w:rPr>
        <w:t>全部</w:t>
      </w:r>
      <w:r>
        <w:rPr>
          <w:rFonts w:hint="eastAsia" w:ascii="仿宋" w:hAnsi="仿宋" w:eastAsia="仿宋" w:cs="仿宋"/>
          <w:color w:val="auto"/>
          <w:kern w:val="0"/>
          <w:sz w:val="24"/>
          <w:szCs w:val="22"/>
          <w:highlight w:val="none"/>
        </w:rPr>
        <w:t>的责任和因此发生的费用，接受甲方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的监督检查。</w:t>
      </w:r>
    </w:p>
    <w:p w14:paraId="2D33487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w:t>
      </w:r>
      <w:r>
        <w:rPr>
          <w:rFonts w:hint="eastAsia" w:ascii="仿宋" w:hAnsi="仿宋" w:eastAsia="仿宋" w:cs="仿宋"/>
          <w:color w:val="auto"/>
          <w:kern w:val="0"/>
          <w:sz w:val="24"/>
          <w:szCs w:val="22"/>
          <w:highlight w:val="none"/>
          <w:lang w:val="en-US" w:eastAsia="zh-CN"/>
        </w:rPr>
        <w:t>9</w:t>
      </w:r>
      <w:r>
        <w:rPr>
          <w:rFonts w:hint="eastAsia" w:ascii="仿宋" w:hAnsi="仿宋" w:eastAsia="仿宋" w:cs="仿宋"/>
          <w:color w:val="auto"/>
          <w:kern w:val="0"/>
          <w:sz w:val="24"/>
          <w:szCs w:val="22"/>
          <w:highlight w:val="none"/>
        </w:rPr>
        <w:t>保证施工现场整洁、条理，设备清洁完好，做到文明施工，并承担因违反规定造成的损失。工程施工结束后，乙方必须在</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日内将施工场地清理干净。</w:t>
      </w:r>
    </w:p>
    <w:p w14:paraId="1FAAEFFB">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w:t>
      </w:r>
      <w:r>
        <w:rPr>
          <w:rFonts w:hint="eastAsia" w:ascii="仿宋" w:hAnsi="仿宋" w:eastAsia="仿宋" w:cs="仿宋"/>
          <w:color w:val="auto"/>
          <w:kern w:val="0"/>
          <w:sz w:val="24"/>
          <w:szCs w:val="22"/>
          <w:highlight w:val="none"/>
          <w:lang w:val="en-US" w:eastAsia="zh-CN"/>
        </w:rPr>
        <w:t>10</w:t>
      </w:r>
      <w:r>
        <w:rPr>
          <w:rFonts w:hint="eastAsia" w:ascii="仿宋" w:hAnsi="仿宋" w:eastAsia="仿宋" w:cs="仿宋"/>
          <w:color w:val="auto"/>
          <w:kern w:val="0"/>
          <w:sz w:val="24"/>
          <w:szCs w:val="22"/>
          <w:highlight w:val="none"/>
        </w:rPr>
        <w:t>乙方遵守并执行甲方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制定的各项工程管理制度，接受</w:t>
      </w:r>
      <w:r>
        <w:rPr>
          <w:rFonts w:hint="eastAsia" w:ascii="仿宋" w:hAnsi="仿宋" w:eastAsia="仿宋" w:cs="仿宋"/>
          <w:color w:val="auto"/>
          <w:kern w:val="0"/>
          <w:sz w:val="24"/>
          <w:szCs w:val="22"/>
          <w:highlight w:val="none"/>
          <w:lang w:val="en-US" w:eastAsia="zh-CN"/>
        </w:rPr>
        <w:t>甲方（监理）</w:t>
      </w:r>
      <w:r>
        <w:rPr>
          <w:rFonts w:hint="eastAsia" w:ascii="仿宋" w:hAnsi="仿宋" w:eastAsia="仿宋" w:cs="仿宋"/>
          <w:color w:val="auto"/>
          <w:kern w:val="0"/>
          <w:sz w:val="24"/>
          <w:szCs w:val="22"/>
          <w:highlight w:val="none"/>
        </w:rPr>
        <w:t>的监督管理，服从</w:t>
      </w:r>
      <w:r>
        <w:rPr>
          <w:rFonts w:hint="eastAsia" w:ascii="仿宋" w:hAnsi="仿宋" w:eastAsia="仿宋" w:cs="仿宋"/>
          <w:color w:val="auto"/>
          <w:kern w:val="0"/>
          <w:sz w:val="24"/>
          <w:szCs w:val="22"/>
          <w:highlight w:val="none"/>
          <w:lang w:val="en-US" w:eastAsia="zh-CN"/>
        </w:rPr>
        <w:t>甲方（监理）</w:t>
      </w:r>
      <w:r>
        <w:rPr>
          <w:rFonts w:hint="eastAsia" w:ascii="仿宋" w:hAnsi="仿宋" w:eastAsia="仿宋" w:cs="仿宋"/>
          <w:color w:val="auto"/>
          <w:kern w:val="0"/>
          <w:sz w:val="24"/>
          <w:szCs w:val="22"/>
          <w:highlight w:val="none"/>
        </w:rPr>
        <w:t>的各项管理工作。</w:t>
      </w:r>
    </w:p>
    <w:p w14:paraId="08DF9767">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1</w:t>
      </w:r>
      <w:r>
        <w:rPr>
          <w:rFonts w:hint="eastAsia" w:ascii="仿宋" w:hAnsi="仿宋" w:eastAsia="仿宋" w:cs="仿宋"/>
          <w:color w:val="auto"/>
          <w:kern w:val="0"/>
          <w:sz w:val="24"/>
          <w:szCs w:val="22"/>
          <w:highlight w:val="none"/>
        </w:rPr>
        <w:t>严格执行施工规范、安全操作规程、防火安全规定、环境保护规定；严格按图纸或施工工艺</w:t>
      </w:r>
      <w:r>
        <w:rPr>
          <w:rFonts w:hint="eastAsia" w:ascii="仿宋" w:hAnsi="仿宋" w:eastAsia="仿宋" w:cs="仿宋"/>
          <w:color w:val="auto"/>
          <w:kern w:val="0"/>
          <w:sz w:val="24"/>
          <w:szCs w:val="22"/>
          <w:highlight w:val="none"/>
          <w:lang w:eastAsia="zh-CN"/>
        </w:rPr>
        <w:t>做法</w:t>
      </w:r>
      <w:r>
        <w:rPr>
          <w:rFonts w:hint="eastAsia" w:ascii="仿宋" w:hAnsi="仿宋" w:eastAsia="仿宋" w:cs="仿宋"/>
          <w:color w:val="auto"/>
          <w:kern w:val="0"/>
          <w:sz w:val="24"/>
          <w:szCs w:val="22"/>
          <w:highlight w:val="none"/>
        </w:rPr>
        <w:t>说明进行施工，做好各项质量检查记录。</w:t>
      </w:r>
    </w:p>
    <w:p w14:paraId="0EE8411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rPr>
        <w:t>乙方负责施工用水、电，施工所需水、电从甲方指定的接口接至施工地点，另接装水、电表所产生的费用以及水费、电费由乙方支付（</w:t>
      </w:r>
      <w:r>
        <w:rPr>
          <w:rFonts w:hint="eastAsia" w:ascii="仿宋" w:hAnsi="仿宋" w:eastAsia="仿宋" w:cs="仿宋"/>
          <w:color w:val="auto"/>
          <w:kern w:val="0"/>
          <w:sz w:val="24"/>
          <w:szCs w:val="22"/>
          <w:highlight w:val="none"/>
          <w:lang w:val="en-US" w:eastAsia="zh-CN"/>
        </w:rPr>
        <w:t>施工期间承担施工用电费用，电费按电业局计量标准支付</w:t>
      </w:r>
      <w:r>
        <w:rPr>
          <w:rFonts w:hint="eastAsia" w:ascii="仿宋" w:hAnsi="仿宋" w:eastAsia="仿宋" w:cs="仿宋"/>
          <w:color w:val="auto"/>
          <w:kern w:val="0"/>
          <w:sz w:val="24"/>
          <w:szCs w:val="22"/>
          <w:highlight w:val="none"/>
        </w:rPr>
        <w:t>）。</w:t>
      </w:r>
    </w:p>
    <w:p w14:paraId="60C7035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rPr>
        <w:t>乙方应在开工之日起至工程验收移交之日止，负责工程的保护、维护、照管，保证工程除不可抗力外，不受到任何损失、损害。已完工工程未交付之前，由乙方负责成品保护工作，保护期间的</w:t>
      </w:r>
      <w:r>
        <w:rPr>
          <w:rFonts w:hint="eastAsia" w:ascii="仿宋" w:hAnsi="仿宋" w:eastAsia="仿宋" w:cs="仿宋"/>
          <w:color w:val="auto"/>
          <w:kern w:val="0"/>
          <w:sz w:val="24"/>
          <w:szCs w:val="22"/>
          <w:highlight w:val="none"/>
          <w:lang w:val="en-US" w:eastAsia="zh-CN"/>
        </w:rPr>
        <w:t>损坏、</w:t>
      </w:r>
      <w:r>
        <w:rPr>
          <w:rFonts w:hint="eastAsia" w:ascii="仿宋" w:hAnsi="仿宋" w:eastAsia="仿宋" w:cs="仿宋"/>
          <w:color w:val="auto"/>
          <w:kern w:val="0"/>
          <w:sz w:val="24"/>
          <w:szCs w:val="22"/>
          <w:highlight w:val="none"/>
        </w:rPr>
        <w:t>丢失，乙方自费予以修复；工程交付后，由甲方负责成品保护工作。</w:t>
      </w:r>
    </w:p>
    <w:p w14:paraId="2521867B">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rPr>
        <w:t>负责施工过程中</w:t>
      </w:r>
      <w:r>
        <w:rPr>
          <w:rFonts w:hint="eastAsia" w:ascii="仿宋" w:hAnsi="仿宋" w:eastAsia="仿宋" w:cs="仿宋"/>
          <w:color w:val="auto"/>
          <w:kern w:val="0"/>
          <w:sz w:val="24"/>
          <w:szCs w:val="22"/>
          <w:highlight w:val="none"/>
          <w:lang w:val="en-US" w:eastAsia="zh-CN"/>
        </w:rPr>
        <w:t>非甲方原因引起</w:t>
      </w:r>
      <w:r>
        <w:rPr>
          <w:rFonts w:hint="eastAsia" w:ascii="仿宋" w:hAnsi="仿宋" w:eastAsia="仿宋" w:cs="仿宋"/>
          <w:color w:val="auto"/>
          <w:kern w:val="0"/>
          <w:sz w:val="24"/>
          <w:szCs w:val="22"/>
          <w:highlight w:val="none"/>
        </w:rPr>
        <w:t>的工农关系及各单位之间的协调</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并承担相应的外部协调费用</w:t>
      </w:r>
      <w:r>
        <w:rPr>
          <w:rFonts w:hint="eastAsia" w:ascii="仿宋" w:hAnsi="仿宋" w:eastAsia="仿宋" w:cs="仿宋"/>
          <w:color w:val="auto"/>
          <w:kern w:val="0"/>
          <w:sz w:val="24"/>
          <w:szCs w:val="22"/>
          <w:highlight w:val="none"/>
        </w:rPr>
        <w:t>。</w:t>
      </w:r>
    </w:p>
    <w:p w14:paraId="054D582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rPr>
        <w:t>乙方对承包工程项目的农民工工资支付负总责，不得以工程款未到位等为由克扣或拖欠农民工工资，不得将合同应收工程款等经营风险转嫁给农民工。</w:t>
      </w:r>
    </w:p>
    <w:p w14:paraId="216A1FA6">
      <w:pPr>
        <w:spacing w:line="480" w:lineRule="exact"/>
        <w:ind w:firstLine="480" w:firstLineChars="200"/>
        <w:jc w:val="left"/>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lang w:val="en-US" w:eastAsia="zh-CN"/>
        </w:rPr>
        <w:t>3.16乙方必须为参与施工的全部人员购买意外伤害险等保险，参保人员名单报甲方（监理）备案。</w:t>
      </w:r>
    </w:p>
    <w:p w14:paraId="6B93B02E">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rPr>
        <w:t>3.1</w:t>
      </w:r>
      <w:r>
        <w:rPr>
          <w:rFonts w:hint="eastAsia" w:ascii="仿宋" w:hAnsi="仿宋" w:eastAsia="仿宋" w:cs="仿宋"/>
          <w:color w:val="auto"/>
          <w:kern w:val="0"/>
          <w:sz w:val="24"/>
          <w:szCs w:val="22"/>
          <w:highlight w:val="none"/>
          <w:lang w:val="en-US" w:eastAsia="zh-CN"/>
        </w:rPr>
        <w:t>7农民工工资保障金</w:t>
      </w:r>
      <w:r>
        <w:rPr>
          <w:rFonts w:hint="eastAsia" w:ascii="仿宋" w:hAnsi="仿宋" w:eastAsia="仿宋" w:cs="仿宋"/>
          <w:b w:val="0"/>
          <w:bCs w:val="0"/>
          <w:color w:val="auto"/>
          <w:kern w:val="0"/>
          <w:sz w:val="24"/>
          <w:szCs w:val="22"/>
          <w:highlight w:val="none"/>
        </w:rPr>
        <w:t>按照洛阳市住房和城乡建设局《关于进一步规范农民工工资保障金和工程担保管理的通知》洛建【2019】78号</w:t>
      </w:r>
      <w:r>
        <w:rPr>
          <w:rFonts w:hint="eastAsia" w:ascii="仿宋" w:hAnsi="仿宋" w:eastAsia="仿宋" w:cs="仿宋"/>
          <w:b w:val="0"/>
          <w:bCs w:val="0"/>
          <w:color w:val="auto"/>
          <w:kern w:val="0"/>
          <w:sz w:val="24"/>
          <w:szCs w:val="22"/>
          <w:highlight w:val="none"/>
          <w:lang w:val="en-US" w:eastAsia="zh-CN"/>
        </w:rPr>
        <w:t>执行</w:t>
      </w:r>
      <w:r>
        <w:rPr>
          <w:rFonts w:hint="eastAsia" w:ascii="仿宋" w:hAnsi="仿宋" w:eastAsia="仿宋" w:cs="仿宋"/>
          <w:color w:val="auto"/>
          <w:kern w:val="0"/>
          <w:sz w:val="24"/>
          <w:szCs w:val="22"/>
          <w:highlight w:val="none"/>
        </w:rPr>
        <w:t>。</w:t>
      </w:r>
    </w:p>
    <w:p w14:paraId="5CF4E3D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3.18</w:t>
      </w:r>
      <w:r>
        <w:rPr>
          <w:rFonts w:hint="eastAsia" w:ascii="仿宋" w:hAnsi="仿宋" w:eastAsia="仿宋" w:cs="仿宋"/>
          <w:b w:val="0"/>
          <w:bCs w:val="0"/>
          <w:color w:val="auto"/>
          <w:kern w:val="0"/>
          <w:sz w:val="24"/>
          <w:szCs w:val="22"/>
          <w:highlight w:val="none"/>
        </w:rPr>
        <w:t>合同签订后，</w:t>
      </w:r>
      <w:r>
        <w:rPr>
          <w:rFonts w:hint="eastAsia" w:ascii="仿宋" w:hAnsi="仿宋" w:eastAsia="仿宋" w:cs="仿宋"/>
          <w:b w:val="0"/>
          <w:bCs w:val="0"/>
          <w:color w:val="auto"/>
          <w:kern w:val="0"/>
          <w:sz w:val="24"/>
          <w:szCs w:val="22"/>
          <w:highlight w:val="none"/>
          <w:lang w:val="en-US" w:eastAsia="zh-CN"/>
        </w:rPr>
        <w:t>乙方</w:t>
      </w:r>
      <w:r>
        <w:rPr>
          <w:rFonts w:hint="eastAsia" w:ascii="仿宋" w:hAnsi="仿宋" w:eastAsia="仿宋" w:cs="仿宋"/>
          <w:b w:val="0"/>
          <w:bCs w:val="0"/>
          <w:color w:val="auto"/>
          <w:kern w:val="0"/>
          <w:sz w:val="24"/>
          <w:szCs w:val="22"/>
          <w:highlight w:val="none"/>
        </w:rPr>
        <w:t>必须</w:t>
      </w:r>
      <w:r>
        <w:rPr>
          <w:rFonts w:hint="eastAsia" w:ascii="仿宋" w:hAnsi="仿宋" w:eastAsia="仿宋" w:cs="仿宋"/>
          <w:b w:val="0"/>
          <w:bCs w:val="0"/>
          <w:color w:val="auto"/>
          <w:kern w:val="0"/>
          <w:sz w:val="24"/>
          <w:szCs w:val="22"/>
          <w:highlight w:val="none"/>
          <w:lang w:val="en-US" w:eastAsia="zh-CN"/>
        </w:rPr>
        <w:t>委派</w:t>
      </w:r>
      <w:r>
        <w:rPr>
          <w:rFonts w:hint="eastAsia" w:ascii="仿宋" w:hAnsi="仿宋" w:eastAsia="仿宋" w:cs="仿宋"/>
          <w:b w:val="0"/>
          <w:bCs w:val="0"/>
          <w:color w:val="auto"/>
          <w:kern w:val="0"/>
          <w:sz w:val="24"/>
          <w:szCs w:val="22"/>
          <w:highlight w:val="none"/>
        </w:rPr>
        <w:t>投标</w:t>
      </w:r>
      <w:r>
        <w:rPr>
          <w:rFonts w:hint="eastAsia" w:ascii="仿宋" w:hAnsi="仿宋" w:eastAsia="仿宋" w:cs="仿宋"/>
          <w:b w:val="0"/>
          <w:bCs w:val="0"/>
          <w:color w:val="auto"/>
          <w:kern w:val="0"/>
          <w:sz w:val="24"/>
          <w:szCs w:val="22"/>
          <w:highlight w:val="none"/>
          <w:lang w:val="en-US" w:eastAsia="zh-CN"/>
        </w:rPr>
        <w:t>文件中列出的项目管理机构成员</w:t>
      </w:r>
      <w:r>
        <w:rPr>
          <w:rFonts w:hint="eastAsia" w:ascii="仿宋" w:hAnsi="仿宋" w:eastAsia="仿宋" w:cs="仿宋"/>
          <w:b w:val="0"/>
          <w:bCs w:val="0"/>
          <w:color w:val="auto"/>
          <w:kern w:val="0"/>
          <w:sz w:val="24"/>
          <w:szCs w:val="22"/>
          <w:highlight w:val="none"/>
        </w:rPr>
        <w:t>负责施工现场管理。在工程施工期间不经</w:t>
      </w:r>
      <w:r>
        <w:rPr>
          <w:rFonts w:hint="eastAsia" w:ascii="仿宋" w:hAnsi="仿宋" w:eastAsia="仿宋" w:cs="仿宋"/>
          <w:b w:val="0"/>
          <w:bCs w:val="0"/>
          <w:color w:val="auto"/>
          <w:kern w:val="0"/>
          <w:sz w:val="24"/>
          <w:szCs w:val="22"/>
          <w:highlight w:val="none"/>
          <w:lang w:val="en-US" w:eastAsia="zh-CN"/>
        </w:rPr>
        <w:t>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b w:val="0"/>
          <w:bCs w:val="0"/>
          <w:color w:val="auto"/>
          <w:kern w:val="0"/>
          <w:sz w:val="24"/>
          <w:szCs w:val="22"/>
          <w:highlight w:val="none"/>
        </w:rPr>
        <w:t>允许不得更换，否则</w:t>
      </w:r>
      <w:r>
        <w:rPr>
          <w:rFonts w:hint="eastAsia" w:ascii="仿宋" w:hAnsi="仿宋" w:eastAsia="仿宋" w:cs="仿宋"/>
          <w:b w:val="0"/>
          <w:bCs w:val="0"/>
          <w:color w:val="auto"/>
          <w:kern w:val="0"/>
          <w:sz w:val="24"/>
          <w:szCs w:val="22"/>
          <w:highlight w:val="none"/>
          <w:lang w:val="en-US" w:eastAsia="zh-CN"/>
        </w:rPr>
        <w:t>甲方</w:t>
      </w:r>
      <w:r>
        <w:rPr>
          <w:rFonts w:hint="eastAsia" w:ascii="仿宋" w:hAnsi="仿宋" w:eastAsia="仿宋" w:cs="仿宋"/>
          <w:b w:val="0"/>
          <w:bCs w:val="0"/>
          <w:color w:val="auto"/>
          <w:kern w:val="0"/>
          <w:sz w:val="24"/>
          <w:szCs w:val="22"/>
          <w:highlight w:val="none"/>
        </w:rPr>
        <w:t>有权单方面终止合同，由此造成的一切损失由</w:t>
      </w:r>
      <w:r>
        <w:rPr>
          <w:rFonts w:hint="eastAsia" w:ascii="仿宋" w:hAnsi="仿宋" w:eastAsia="仿宋" w:cs="仿宋"/>
          <w:b w:val="0"/>
          <w:bCs w:val="0"/>
          <w:color w:val="auto"/>
          <w:kern w:val="0"/>
          <w:sz w:val="24"/>
          <w:szCs w:val="22"/>
          <w:highlight w:val="none"/>
          <w:lang w:val="en-US" w:eastAsia="zh-CN"/>
        </w:rPr>
        <w:t>乙方</w:t>
      </w:r>
      <w:r>
        <w:rPr>
          <w:rFonts w:hint="eastAsia" w:ascii="仿宋" w:hAnsi="仿宋" w:eastAsia="仿宋" w:cs="仿宋"/>
          <w:b w:val="0"/>
          <w:bCs w:val="0"/>
          <w:color w:val="auto"/>
          <w:kern w:val="0"/>
          <w:sz w:val="24"/>
          <w:szCs w:val="22"/>
          <w:highlight w:val="none"/>
        </w:rPr>
        <w:t>负责；</w:t>
      </w:r>
      <w:r>
        <w:rPr>
          <w:rFonts w:hint="eastAsia" w:ascii="仿宋" w:hAnsi="仿宋" w:eastAsia="仿宋" w:cs="仿宋"/>
          <w:b w:val="0"/>
          <w:bCs w:val="0"/>
          <w:color w:val="auto"/>
          <w:kern w:val="0"/>
          <w:sz w:val="24"/>
          <w:szCs w:val="22"/>
          <w:highlight w:val="none"/>
          <w:lang w:val="en-US" w:eastAsia="zh-CN"/>
        </w:rPr>
        <w:t>项目经理离开现场，需向甲方（监理）履行请假手续，并委派同等管理水平的人员负责现场管理，</w:t>
      </w:r>
      <w:r>
        <w:rPr>
          <w:rFonts w:hint="eastAsia" w:ascii="仿宋" w:hAnsi="仿宋" w:eastAsia="仿宋" w:cs="仿宋"/>
          <w:b w:val="0"/>
          <w:bCs w:val="0"/>
          <w:color w:val="auto"/>
          <w:kern w:val="0"/>
          <w:sz w:val="24"/>
          <w:szCs w:val="22"/>
          <w:highlight w:val="none"/>
        </w:rPr>
        <w:t>否则</w:t>
      </w:r>
      <w:r>
        <w:rPr>
          <w:rFonts w:hint="eastAsia" w:ascii="仿宋" w:hAnsi="仿宋" w:eastAsia="仿宋" w:cs="仿宋"/>
          <w:b w:val="0"/>
          <w:bCs w:val="0"/>
          <w:color w:val="auto"/>
          <w:kern w:val="0"/>
          <w:sz w:val="24"/>
          <w:szCs w:val="22"/>
          <w:highlight w:val="none"/>
          <w:lang w:val="en-US" w:eastAsia="zh-CN"/>
        </w:rPr>
        <w:t>甲方</w:t>
      </w:r>
      <w:r>
        <w:rPr>
          <w:rFonts w:hint="eastAsia" w:ascii="仿宋" w:hAnsi="仿宋" w:eastAsia="仿宋" w:cs="仿宋"/>
          <w:b w:val="0"/>
          <w:bCs w:val="0"/>
          <w:color w:val="auto"/>
          <w:kern w:val="0"/>
          <w:sz w:val="24"/>
          <w:szCs w:val="22"/>
          <w:highlight w:val="none"/>
        </w:rPr>
        <w:t>有权单方面终止合同，由此造成的一切损失由</w:t>
      </w:r>
      <w:r>
        <w:rPr>
          <w:rFonts w:hint="eastAsia" w:ascii="仿宋" w:hAnsi="仿宋" w:eastAsia="仿宋" w:cs="仿宋"/>
          <w:b w:val="0"/>
          <w:bCs w:val="0"/>
          <w:color w:val="auto"/>
          <w:kern w:val="0"/>
          <w:sz w:val="24"/>
          <w:szCs w:val="22"/>
          <w:highlight w:val="none"/>
          <w:lang w:val="en-US" w:eastAsia="zh-CN"/>
        </w:rPr>
        <w:t>乙方</w:t>
      </w:r>
      <w:r>
        <w:rPr>
          <w:rFonts w:hint="eastAsia" w:ascii="仿宋" w:hAnsi="仿宋" w:eastAsia="仿宋" w:cs="仿宋"/>
          <w:b w:val="0"/>
          <w:bCs w:val="0"/>
          <w:color w:val="auto"/>
          <w:kern w:val="0"/>
          <w:sz w:val="24"/>
          <w:szCs w:val="22"/>
          <w:highlight w:val="none"/>
        </w:rPr>
        <w:t>负责。</w:t>
      </w:r>
      <w:r>
        <w:rPr>
          <w:rFonts w:hint="eastAsia" w:ascii="仿宋" w:hAnsi="仿宋" w:eastAsia="仿宋" w:cs="仿宋"/>
          <w:b w:val="0"/>
          <w:bCs w:val="0"/>
          <w:color w:val="auto"/>
          <w:kern w:val="0"/>
          <w:sz w:val="24"/>
          <w:szCs w:val="22"/>
          <w:highlight w:val="none"/>
          <w:lang w:val="en-US" w:eastAsia="zh-CN"/>
        </w:rPr>
        <w:t>每月</w:t>
      </w:r>
      <w:r>
        <w:rPr>
          <w:rFonts w:hint="eastAsia" w:ascii="仿宋" w:hAnsi="仿宋" w:eastAsia="仿宋" w:cs="仿宋"/>
          <w:b w:val="0"/>
          <w:bCs w:val="0"/>
          <w:color w:val="auto"/>
          <w:kern w:val="0"/>
          <w:sz w:val="24"/>
          <w:szCs w:val="22"/>
          <w:highlight w:val="none"/>
        </w:rPr>
        <w:t>项目</w:t>
      </w:r>
      <w:r>
        <w:rPr>
          <w:rFonts w:hint="eastAsia" w:ascii="仿宋" w:hAnsi="仿宋" w:eastAsia="仿宋" w:cs="仿宋"/>
          <w:b w:val="0"/>
          <w:bCs w:val="0"/>
          <w:color w:val="auto"/>
          <w:kern w:val="0"/>
          <w:sz w:val="24"/>
          <w:szCs w:val="22"/>
          <w:highlight w:val="none"/>
          <w:lang w:val="en-US" w:eastAsia="zh-CN"/>
        </w:rPr>
        <w:t>技术</w:t>
      </w:r>
      <w:r>
        <w:rPr>
          <w:rFonts w:hint="eastAsia" w:ascii="仿宋" w:hAnsi="仿宋" w:eastAsia="仿宋" w:cs="仿宋"/>
          <w:b w:val="0"/>
          <w:bCs w:val="0"/>
          <w:color w:val="auto"/>
          <w:kern w:val="0"/>
          <w:sz w:val="24"/>
          <w:szCs w:val="22"/>
          <w:highlight w:val="none"/>
        </w:rPr>
        <w:t>负责人在施工现场</w:t>
      </w:r>
      <w:r>
        <w:rPr>
          <w:rFonts w:hint="eastAsia" w:ascii="仿宋" w:hAnsi="仿宋" w:eastAsia="仿宋" w:cs="仿宋"/>
          <w:b w:val="0"/>
          <w:bCs w:val="0"/>
          <w:color w:val="auto"/>
          <w:kern w:val="0"/>
          <w:sz w:val="24"/>
          <w:szCs w:val="22"/>
          <w:highlight w:val="none"/>
          <w:lang w:val="en-US" w:eastAsia="zh-CN"/>
        </w:rPr>
        <w:t>不少于</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b w:val="0"/>
          <w:bCs w:val="0"/>
          <w:color w:val="auto"/>
          <w:kern w:val="0"/>
          <w:sz w:val="24"/>
          <w:szCs w:val="22"/>
          <w:highlight w:val="none"/>
          <w:lang w:val="en-US" w:eastAsia="zh-CN"/>
        </w:rPr>
        <w:t>日历天</w:t>
      </w:r>
      <w:r>
        <w:rPr>
          <w:rFonts w:hint="eastAsia" w:ascii="仿宋" w:hAnsi="仿宋" w:eastAsia="仿宋" w:cs="仿宋"/>
          <w:b w:val="0"/>
          <w:bCs w:val="0"/>
          <w:color w:val="auto"/>
          <w:kern w:val="0"/>
          <w:sz w:val="24"/>
          <w:szCs w:val="22"/>
          <w:highlight w:val="none"/>
        </w:rPr>
        <w:t>，</w:t>
      </w:r>
      <w:r>
        <w:rPr>
          <w:rFonts w:hint="eastAsia" w:ascii="仿宋" w:hAnsi="仿宋" w:eastAsia="仿宋" w:cs="仿宋"/>
          <w:color w:val="auto"/>
          <w:kern w:val="0"/>
          <w:sz w:val="24"/>
          <w:szCs w:val="22"/>
          <w:highlight w:val="none"/>
        </w:rPr>
        <w:t>每少一天向甲方支付违约金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元。</w:t>
      </w:r>
    </w:p>
    <w:p w14:paraId="294F1DCC">
      <w:pPr>
        <w:spacing w:line="480" w:lineRule="exact"/>
        <w:ind w:firstLine="480" w:firstLineChars="200"/>
        <w:jc w:val="left"/>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lang w:val="en-US" w:eastAsia="zh-CN"/>
        </w:rPr>
        <w:t>3.19 由于乙方施工组织不力，造成工期延误超过</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lang w:val="en-US" w:eastAsia="zh-CN"/>
        </w:rPr>
        <w:t>个日历天，甲方（监理）有权要求乙方更换项目经理，工作交接完成前，原项目经理不得离开现场。</w:t>
      </w:r>
    </w:p>
    <w:p w14:paraId="5ECAE07A">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如乙方不能履行上述各项义务，造成工期延误和经济损失，应给甲方予以赔偿。</w:t>
      </w:r>
    </w:p>
    <w:p w14:paraId="5CBE6DFB">
      <w:pPr>
        <w:spacing w:line="480" w:lineRule="exact"/>
        <w:ind w:firstLine="482" w:firstLineChars="200"/>
        <w:jc w:val="center"/>
        <w:rPr>
          <w:rFonts w:hint="eastAsia" w:ascii="仿宋" w:hAnsi="仿宋" w:eastAsia="仿宋" w:cs="仿宋"/>
          <w:b/>
          <w:color w:val="auto"/>
          <w:kern w:val="0"/>
          <w:sz w:val="24"/>
          <w:szCs w:val="22"/>
          <w:highlight w:val="none"/>
        </w:rPr>
      </w:pPr>
      <w:r>
        <w:rPr>
          <w:rFonts w:hint="eastAsia" w:ascii="仿宋" w:hAnsi="仿宋" w:eastAsia="仿宋" w:cs="仿宋"/>
          <w:b/>
          <w:color w:val="auto"/>
          <w:kern w:val="0"/>
          <w:sz w:val="24"/>
          <w:szCs w:val="22"/>
          <w:highlight w:val="none"/>
        </w:rPr>
        <w:t>第六条  工程期限</w:t>
      </w:r>
    </w:p>
    <w:p w14:paraId="2C09D1C7">
      <w:pPr>
        <w:tabs>
          <w:tab w:val="left" w:pos="525"/>
        </w:tabs>
        <w:spacing w:line="50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kern w:val="0"/>
          <w:sz w:val="24"/>
          <w:szCs w:val="22"/>
          <w:highlight w:val="none"/>
        </w:rPr>
        <w:t>1.合同工期：</w:t>
      </w:r>
      <w:r>
        <w:rPr>
          <w:rFonts w:hint="eastAsia" w:ascii="仿宋" w:hAnsi="仿宋" w:eastAsia="仿宋" w:cs="仿宋"/>
          <w:bCs/>
          <w:color w:val="auto"/>
          <w:kern w:val="0"/>
          <w:sz w:val="24"/>
          <w:szCs w:val="22"/>
          <w:highlight w:val="none"/>
          <w:u w:val="single"/>
          <w:lang w:val="en-US" w:eastAsia="zh-CN"/>
        </w:rPr>
        <w:t xml:space="preserve">                                                      </w:t>
      </w:r>
      <w:r>
        <w:rPr>
          <w:rFonts w:hint="eastAsia" w:ascii="仿宋" w:hAnsi="仿宋" w:eastAsia="仿宋" w:cs="仿宋"/>
          <w:bCs/>
          <w:color w:val="auto"/>
          <w:kern w:val="0"/>
          <w:sz w:val="24"/>
          <w:szCs w:val="22"/>
          <w:highlight w:val="none"/>
          <w:u w:val="none"/>
        </w:rPr>
        <w:t>。</w:t>
      </w:r>
      <w:r>
        <w:rPr>
          <w:rFonts w:hint="eastAsia" w:ascii="仿宋" w:hAnsi="仿宋" w:eastAsia="仿宋" w:cs="仿宋"/>
          <w:color w:val="auto"/>
          <w:kern w:val="0"/>
          <w:sz w:val="24"/>
          <w:szCs w:val="24"/>
          <w:highlight w:val="none"/>
        </w:rPr>
        <w:t>开工后乙方应采取一切措施予以保障。</w:t>
      </w:r>
    </w:p>
    <w:p w14:paraId="1FE6B15C">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2.对以下造成竣工日期推迟，经甲方确认，工期应顺延。</w:t>
      </w:r>
    </w:p>
    <w:p w14:paraId="0689FDCB">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1）工程量增加；</w:t>
      </w:r>
    </w:p>
    <w:p w14:paraId="7D00F02A">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rPr>
        <w:t>2）人力不可抗拒的灾害</w:t>
      </w:r>
      <w:r>
        <w:rPr>
          <w:rFonts w:hint="eastAsia" w:ascii="仿宋" w:hAnsi="仿宋" w:eastAsia="仿宋" w:cs="仿宋"/>
          <w:color w:val="auto"/>
          <w:kern w:val="0"/>
          <w:sz w:val="24"/>
          <w:szCs w:val="22"/>
          <w:highlight w:val="none"/>
          <w:lang w:eastAsia="zh-CN"/>
        </w:rPr>
        <w:t>：</w:t>
      </w:r>
    </w:p>
    <w:p w14:paraId="12F679FC">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lang w:val="en-US" w:eastAsia="zh-CN"/>
        </w:rPr>
        <w:t>①</w:t>
      </w:r>
      <w:r>
        <w:rPr>
          <w:rFonts w:hint="eastAsia" w:ascii="仿宋" w:hAnsi="仿宋" w:eastAsia="仿宋" w:cs="仿宋"/>
          <w:color w:val="auto"/>
          <w:kern w:val="0"/>
          <w:sz w:val="24"/>
          <w:szCs w:val="22"/>
          <w:highlight w:val="none"/>
        </w:rPr>
        <w:t>地震、洪水、火灾、暴雪、泥石流、飓风</w:t>
      </w:r>
      <w:r>
        <w:rPr>
          <w:rFonts w:hint="eastAsia" w:ascii="仿宋" w:hAnsi="仿宋" w:eastAsia="仿宋" w:cs="仿宋"/>
          <w:color w:val="auto"/>
          <w:kern w:val="0"/>
          <w:sz w:val="24"/>
          <w:szCs w:val="22"/>
          <w:highlight w:val="none"/>
          <w:lang w:eastAsia="zh-CN"/>
        </w:rPr>
        <w:t>；</w:t>
      </w:r>
    </w:p>
    <w:p w14:paraId="1B5BA8B7">
      <w:pPr>
        <w:spacing w:line="480" w:lineRule="exact"/>
        <w:ind w:firstLine="480" w:firstLineChars="200"/>
        <w:jc w:val="left"/>
        <w:rPr>
          <w:rFonts w:hint="eastAsia" w:ascii="仿宋" w:hAnsi="仿宋" w:eastAsia="仿宋" w:cs="仿宋"/>
          <w:color w:val="auto"/>
          <w:kern w:val="0"/>
          <w:sz w:val="24"/>
          <w:szCs w:val="22"/>
          <w:highlight w:val="none"/>
          <w:lang w:eastAsia="zh-CN"/>
        </w:rPr>
      </w:pPr>
      <w:r>
        <w:rPr>
          <w:rFonts w:hint="eastAsia" w:ascii="仿宋" w:hAnsi="仿宋" w:eastAsia="仿宋" w:cs="仿宋"/>
          <w:color w:val="auto"/>
          <w:kern w:val="0"/>
          <w:sz w:val="24"/>
          <w:szCs w:val="22"/>
          <w:highlight w:val="none"/>
          <w:lang w:val="en-US" w:eastAsia="zh-CN"/>
        </w:rPr>
        <w:t>②</w:t>
      </w:r>
      <w:r>
        <w:rPr>
          <w:rFonts w:hint="eastAsia" w:ascii="仿宋" w:hAnsi="仿宋" w:eastAsia="仿宋" w:cs="仿宋"/>
          <w:color w:val="auto"/>
          <w:kern w:val="0"/>
          <w:sz w:val="24"/>
          <w:szCs w:val="22"/>
          <w:highlight w:val="none"/>
        </w:rPr>
        <w:t>政府政策、法令、法规等</w:t>
      </w:r>
      <w:r>
        <w:rPr>
          <w:rFonts w:hint="eastAsia" w:ascii="仿宋" w:hAnsi="仿宋" w:eastAsia="仿宋" w:cs="仿宋"/>
          <w:color w:val="auto"/>
          <w:kern w:val="0"/>
          <w:sz w:val="24"/>
          <w:szCs w:val="22"/>
          <w:highlight w:val="none"/>
          <w:lang w:eastAsia="zh-CN"/>
        </w:rPr>
        <w:t>。</w:t>
      </w:r>
    </w:p>
    <w:p w14:paraId="0E33BB7A">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3.乙方在以上情况发生后，</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日内就延误的原因、内容向甲方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提出书面报告，甲方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在</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日内予以书面答复。甲方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在</w:t>
      </w:r>
      <w:r>
        <w:rPr>
          <w:rFonts w:hint="eastAsia" w:ascii="仿宋" w:hAnsi="仿宋" w:eastAsia="仿宋" w:cs="仿宋"/>
          <w:color w:val="auto"/>
          <w:kern w:val="0"/>
          <w:sz w:val="24"/>
          <w:szCs w:val="22"/>
          <w:highlight w:val="none"/>
          <w:lang w:val="en-US" w:eastAsia="zh-CN"/>
        </w:rPr>
        <w:t>收到</w:t>
      </w:r>
      <w:r>
        <w:rPr>
          <w:rFonts w:hint="eastAsia" w:ascii="仿宋" w:hAnsi="仿宋" w:eastAsia="仿宋" w:cs="仿宋"/>
          <w:color w:val="auto"/>
          <w:kern w:val="0"/>
          <w:sz w:val="24"/>
          <w:szCs w:val="22"/>
          <w:highlight w:val="none"/>
        </w:rPr>
        <w:t>乙方书面报告</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日内未给予答复，即视为甲方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同意乙方顺延工期，非上述原因，工程不能按合同工期竣工，乙方承担违约责任。</w:t>
      </w:r>
    </w:p>
    <w:p w14:paraId="5E8198E7">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4.因乙方施工管理不善或由乙方责任造成的工程质量返工</w:t>
      </w:r>
      <w:r>
        <w:rPr>
          <w:rFonts w:hint="eastAsia" w:ascii="仿宋" w:hAnsi="仿宋" w:eastAsia="仿宋" w:cs="仿宋"/>
          <w:color w:val="auto"/>
          <w:kern w:val="0"/>
          <w:sz w:val="24"/>
          <w:szCs w:val="22"/>
          <w:highlight w:val="none"/>
          <w:lang w:val="en-US" w:eastAsia="zh-CN"/>
        </w:rPr>
        <w:t>、</w:t>
      </w:r>
      <w:r>
        <w:rPr>
          <w:rFonts w:hint="eastAsia" w:ascii="仿宋" w:hAnsi="仿宋" w:eastAsia="仿宋" w:cs="仿宋"/>
          <w:color w:val="auto"/>
          <w:kern w:val="0"/>
          <w:sz w:val="24"/>
          <w:szCs w:val="22"/>
          <w:highlight w:val="none"/>
        </w:rPr>
        <w:t>事故处理等导致工期</w:t>
      </w:r>
      <w:r>
        <w:rPr>
          <w:rFonts w:hint="eastAsia" w:ascii="仿宋" w:hAnsi="仿宋" w:eastAsia="仿宋" w:cs="仿宋"/>
          <w:color w:val="auto"/>
          <w:kern w:val="0"/>
          <w:sz w:val="24"/>
          <w:szCs w:val="22"/>
          <w:highlight w:val="none"/>
          <w:lang w:val="en-US" w:eastAsia="zh-CN"/>
        </w:rPr>
        <w:t>延误</w:t>
      </w:r>
      <w:r>
        <w:rPr>
          <w:rFonts w:hint="eastAsia" w:ascii="仿宋" w:hAnsi="仿宋" w:eastAsia="仿宋" w:cs="仿宋"/>
          <w:color w:val="auto"/>
          <w:kern w:val="0"/>
          <w:sz w:val="24"/>
          <w:szCs w:val="22"/>
          <w:highlight w:val="none"/>
        </w:rPr>
        <w:t>时，工期不予顺延。</w:t>
      </w:r>
    </w:p>
    <w:p w14:paraId="241800ED">
      <w:pPr>
        <w:tabs>
          <w:tab w:val="left" w:pos="525"/>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.因重大设计变更或甲方原因造成停工，经双方确认后，可顺延工期。因乙方原因造成停工，不得顺延工期。</w:t>
      </w:r>
    </w:p>
    <w:p w14:paraId="32922390">
      <w:pPr>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.除合同约定可以顺延的工期外，工期严格按合同约定的工期执行，工期每拖延一天，乙方向甲方支付工期延误违约金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元</w:t>
      </w:r>
      <w:r>
        <w:rPr>
          <w:rFonts w:hint="eastAsia" w:ascii="仿宋" w:hAnsi="仿宋" w:eastAsia="仿宋" w:cs="仿宋"/>
          <w:color w:val="auto"/>
          <w:kern w:val="0"/>
          <w:sz w:val="24"/>
          <w:szCs w:val="20"/>
          <w:highlight w:val="none"/>
          <w:lang w:val="en-US" w:eastAsia="zh-CN"/>
        </w:rPr>
        <w:t>/天</w:t>
      </w:r>
      <w:r>
        <w:rPr>
          <w:rFonts w:hint="eastAsia" w:ascii="仿宋" w:hAnsi="仿宋" w:eastAsia="仿宋" w:cs="仿宋"/>
          <w:color w:val="auto"/>
          <w:kern w:val="0"/>
          <w:sz w:val="24"/>
          <w:szCs w:val="20"/>
          <w:highlight w:val="none"/>
        </w:rPr>
        <w:t>。</w:t>
      </w:r>
    </w:p>
    <w:p w14:paraId="17D41913">
      <w:pPr>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w:t>
      </w:r>
      <w:r>
        <w:rPr>
          <w:rFonts w:hint="eastAsia" w:ascii="仿宋" w:hAnsi="仿宋" w:eastAsia="仿宋" w:cs="仿宋"/>
          <w:b w:val="0"/>
          <w:bCs w:val="0"/>
          <w:color w:val="auto"/>
          <w:kern w:val="0"/>
          <w:sz w:val="24"/>
          <w:szCs w:val="20"/>
          <w:highlight w:val="none"/>
        </w:rPr>
        <w:t>乙方无约定理由延误工期超过</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b w:val="0"/>
          <w:bCs w:val="0"/>
          <w:color w:val="auto"/>
          <w:kern w:val="0"/>
          <w:sz w:val="24"/>
          <w:szCs w:val="20"/>
          <w:highlight w:val="none"/>
        </w:rPr>
        <w:t>天的，甲方可以单方解除本合同，未支付的款项不再支付，</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向甲方</w:t>
      </w:r>
      <w:r>
        <w:rPr>
          <w:rFonts w:hint="eastAsia" w:ascii="仿宋" w:hAnsi="仿宋" w:eastAsia="仿宋" w:cs="仿宋"/>
          <w:color w:val="auto"/>
          <w:kern w:val="0"/>
          <w:sz w:val="24"/>
          <w:szCs w:val="20"/>
          <w:highlight w:val="none"/>
        </w:rPr>
        <w:t>赔偿因此造成的一切直接和间接损失</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并承担解除合同违约金（合同总金额百分之</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rPr>
        <w:t>。</w:t>
      </w:r>
    </w:p>
    <w:p w14:paraId="58DE1256">
      <w:pPr>
        <w:spacing w:line="480" w:lineRule="exact"/>
        <w:ind w:firstLine="482" w:firstLineChars="200"/>
        <w:jc w:val="center"/>
        <w:rPr>
          <w:rFonts w:hint="eastAsia" w:ascii="仿宋" w:hAnsi="仿宋" w:eastAsia="仿宋" w:cs="仿宋"/>
          <w:b/>
          <w:color w:val="auto"/>
          <w:kern w:val="0"/>
          <w:sz w:val="24"/>
          <w:szCs w:val="22"/>
          <w:highlight w:val="none"/>
        </w:rPr>
      </w:pPr>
    </w:p>
    <w:p w14:paraId="506CACB1">
      <w:pPr>
        <w:spacing w:line="480" w:lineRule="exact"/>
        <w:ind w:firstLine="482" w:firstLineChars="200"/>
        <w:jc w:val="center"/>
        <w:rPr>
          <w:rFonts w:hint="eastAsia" w:ascii="仿宋" w:hAnsi="仿宋" w:eastAsia="仿宋" w:cs="仿宋"/>
          <w:b/>
          <w:color w:val="auto"/>
          <w:kern w:val="0"/>
          <w:sz w:val="24"/>
          <w:szCs w:val="22"/>
          <w:highlight w:val="none"/>
        </w:rPr>
      </w:pPr>
      <w:r>
        <w:rPr>
          <w:rFonts w:hint="eastAsia" w:ascii="仿宋" w:hAnsi="仿宋" w:eastAsia="仿宋" w:cs="仿宋"/>
          <w:b/>
          <w:color w:val="auto"/>
          <w:kern w:val="0"/>
          <w:sz w:val="24"/>
          <w:szCs w:val="22"/>
          <w:highlight w:val="none"/>
        </w:rPr>
        <w:t>第七条  材料供应</w:t>
      </w:r>
    </w:p>
    <w:p w14:paraId="2FA88D9D">
      <w:pPr>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2"/>
          <w:highlight w:val="none"/>
        </w:rPr>
        <w:t>1.</w:t>
      </w:r>
      <w:r>
        <w:rPr>
          <w:rFonts w:hint="eastAsia" w:ascii="仿宋" w:hAnsi="仿宋" w:eastAsia="仿宋" w:cs="仿宋"/>
          <w:color w:val="auto"/>
          <w:kern w:val="0"/>
          <w:sz w:val="24"/>
          <w:szCs w:val="20"/>
          <w:highlight w:val="none"/>
        </w:rPr>
        <w:t>本工程材料均由乙方自行采购。材质必须符合设计图纸要求和国家规定的质量标准，必须有国家或行业颁发的生产许可证、出厂合格证、材质报告等，注明生产厂家、品牌，并经甲方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监理）确</w:t>
      </w:r>
      <w:r>
        <w:rPr>
          <w:rFonts w:hint="eastAsia" w:ascii="仿宋" w:hAnsi="仿宋" w:eastAsia="仿宋" w:cs="仿宋"/>
          <w:color w:val="auto"/>
          <w:kern w:val="0"/>
          <w:sz w:val="24"/>
          <w:szCs w:val="20"/>
          <w:highlight w:val="none"/>
        </w:rPr>
        <w:t>认后方可用于工程。若施工中使用不合格材料，甲方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有权制止使用，每发现一次由乙方承担违约金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lang w:val="en-US" w:eastAsia="zh-CN"/>
        </w:rPr>
        <w:t>元</w:t>
      </w:r>
      <w:r>
        <w:rPr>
          <w:rFonts w:hint="eastAsia" w:ascii="仿宋" w:hAnsi="仿宋" w:eastAsia="仿宋" w:cs="仿宋"/>
          <w:color w:val="auto"/>
          <w:kern w:val="0"/>
          <w:sz w:val="24"/>
          <w:szCs w:val="20"/>
          <w:highlight w:val="none"/>
        </w:rPr>
        <w:t>，并无条件整改。如发现乙方二次使用不合格材料，甲方有权单方解除本合同，未支付的款项不再支付</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乙方承担由此给甲方造成的损失，并承担合同总价款</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%的违约金。无论甲方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是否发现和制止，由于使用</w:t>
      </w:r>
      <w:r>
        <w:rPr>
          <w:rFonts w:hint="eastAsia" w:ascii="仿宋" w:hAnsi="仿宋" w:eastAsia="仿宋" w:cs="仿宋"/>
          <w:color w:val="auto"/>
          <w:kern w:val="0"/>
          <w:sz w:val="24"/>
          <w:szCs w:val="20"/>
          <w:highlight w:val="none"/>
          <w:lang w:val="en-US" w:eastAsia="zh-CN"/>
        </w:rPr>
        <w:t>不合格</w:t>
      </w:r>
      <w:r>
        <w:rPr>
          <w:rFonts w:hint="eastAsia" w:ascii="仿宋" w:hAnsi="仿宋" w:eastAsia="仿宋" w:cs="仿宋"/>
          <w:color w:val="auto"/>
          <w:kern w:val="0"/>
          <w:sz w:val="24"/>
          <w:szCs w:val="20"/>
          <w:highlight w:val="none"/>
        </w:rPr>
        <w:t>材料施工所引起的一切后果均由乙方负全责。</w:t>
      </w:r>
    </w:p>
    <w:p w14:paraId="0968D799">
      <w:pPr>
        <w:tabs>
          <w:tab w:val="left" w:pos="540"/>
          <w:tab w:val="left" w:pos="72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2.经验收不合格的材料</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设备必须在</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日内退场</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由</w:t>
      </w:r>
      <w:r>
        <w:rPr>
          <w:rFonts w:hint="eastAsia" w:ascii="仿宋" w:hAnsi="仿宋" w:eastAsia="仿宋" w:cs="仿宋"/>
          <w:color w:val="auto"/>
          <w:kern w:val="0"/>
          <w:sz w:val="24"/>
          <w:szCs w:val="20"/>
          <w:highlight w:val="none"/>
          <w:lang w:val="en-US" w:eastAsia="zh-CN"/>
        </w:rPr>
        <w:t>乙</w:t>
      </w:r>
      <w:r>
        <w:rPr>
          <w:rFonts w:hint="eastAsia" w:ascii="仿宋" w:hAnsi="仿宋" w:eastAsia="仿宋" w:cs="仿宋"/>
          <w:color w:val="auto"/>
          <w:kern w:val="0"/>
          <w:sz w:val="24"/>
          <w:szCs w:val="20"/>
          <w:highlight w:val="none"/>
        </w:rPr>
        <w:t>方负责并承担其相关费用和损失。</w:t>
      </w:r>
    </w:p>
    <w:p w14:paraId="79683120">
      <w:pPr>
        <w:tabs>
          <w:tab w:val="left" w:pos="540"/>
          <w:tab w:val="left" w:pos="72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3.乙方使用不合格的材料，无论其是否经过进场验收，乙方均不能免责。经抽查检验确认材料不合格的，乙方应全部予以返工更换；不能返工更</w:t>
      </w:r>
      <w:r>
        <w:rPr>
          <w:rFonts w:hint="eastAsia" w:ascii="仿宋" w:hAnsi="仿宋" w:eastAsia="仿宋" w:cs="仿宋"/>
          <w:color w:val="auto"/>
          <w:kern w:val="0"/>
          <w:sz w:val="24"/>
          <w:szCs w:val="20"/>
          <w:highlight w:val="none"/>
          <w:lang w:eastAsia="zh-CN"/>
        </w:rPr>
        <w:t>换的</w:t>
      </w:r>
      <w:r>
        <w:rPr>
          <w:rFonts w:hint="eastAsia" w:ascii="仿宋" w:hAnsi="仿宋" w:eastAsia="仿宋" w:cs="仿宋"/>
          <w:color w:val="auto"/>
          <w:kern w:val="0"/>
          <w:sz w:val="24"/>
          <w:szCs w:val="20"/>
          <w:highlight w:val="none"/>
        </w:rPr>
        <w:t>，经甲方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同意保留或进行维修、补强后保留的，由此发生的所有费用，甲方不予计价支付，并可视情节给予其合格产品价值的</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倍违约金，乙方应无条件接受。</w:t>
      </w:r>
    </w:p>
    <w:p w14:paraId="169A66F9">
      <w:pPr>
        <w:spacing w:line="480" w:lineRule="exact"/>
        <w:ind w:firstLine="482" w:firstLineChars="200"/>
        <w:jc w:val="center"/>
        <w:rPr>
          <w:rFonts w:hint="eastAsia" w:ascii="仿宋" w:hAnsi="仿宋" w:eastAsia="仿宋" w:cs="仿宋"/>
          <w:b/>
          <w:color w:val="auto"/>
          <w:kern w:val="0"/>
          <w:sz w:val="24"/>
          <w:szCs w:val="22"/>
          <w:highlight w:val="none"/>
        </w:rPr>
      </w:pPr>
    </w:p>
    <w:p w14:paraId="79404949">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第八条 设计变更</w:t>
      </w:r>
    </w:p>
    <w:p w14:paraId="09555F8F">
      <w:pPr>
        <w:spacing w:line="480" w:lineRule="exact"/>
        <w:ind w:firstLine="612" w:firstLineChars="255"/>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l.甲方变更设计时，应提前书面通知乙方，并办理变更手续，乙方应予执行，由此引起的费用增减由甲方</w:t>
      </w:r>
      <w:r>
        <w:rPr>
          <w:rFonts w:hint="eastAsia" w:ascii="仿宋" w:hAnsi="仿宋" w:eastAsia="仿宋" w:cs="仿宋"/>
          <w:color w:val="auto"/>
          <w:kern w:val="0"/>
          <w:sz w:val="24"/>
          <w:szCs w:val="22"/>
          <w:highlight w:val="none"/>
          <w:lang w:val="en-US" w:eastAsia="zh-CN"/>
        </w:rPr>
        <w:t>审定确认</w:t>
      </w:r>
      <w:r>
        <w:rPr>
          <w:rFonts w:hint="eastAsia" w:ascii="仿宋" w:hAnsi="仿宋" w:eastAsia="仿宋" w:cs="仿宋"/>
          <w:color w:val="auto"/>
          <w:kern w:val="0"/>
          <w:sz w:val="24"/>
          <w:szCs w:val="22"/>
          <w:highlight w:val="none"/>
        </w:rPr>
        <w:t xml:space="preserve">。 </w:t>
      </w:r>
    </w:p>
    <w:p w14:paraId="4E251CE8">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 xml:space="preserve"> 2.乙方由于自身施工方便等原因提出的变更</w:t>
      </w:r>
      <w:r>
        <w:rPr>
          <w:rFonts w:hint="eastAsia" w:ascii="仿宋" w:hAnsi="仿宋" w:eastAsia="仿宋" w:cs="仿宋"/>
          <w:color w:val="auto"/>
          <w:kern w:val="0"/>
          <w:sz w:val="24"/>
          <w:szCs w:val="22"/>
          <w:highlight w:val="none"/>
          <w:lang w:val="en-US" w:eastAsia="zh-CN"/>
        </w:rPr>
        <w:t>内容</w:t>
      </w:r>
      <w:r>
        <w:rPr>
          <w:rFonts w:hint="eastAsia" w:ascii="仿宋" w:hAnsi="仿宋" w:eastAsia="仿宋" w:cs="仿宋"/>
          <w:color w:val="auto"/>
          <w:kern w:val="0"/>
          <w:sz w:val="24"/>
          <w:szCs w:val="22"/>
          <w:highlight w:val="none"/>
        </w:rPr>
        <w:t>，需经甲方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批准后方可执行，由此增加的费用由乙方自负。</w:t>
      </w:r>
    </w:p>
    <w:p w14:paraId="262A0A18">
      <w:pPr>
        <w:spacing w:line="480" w:lineRule="exact"/>
        <w:ind w:firstLine="612" w:firstLineChars="255"/>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3.确定变更价款：工程变更价款是以甲方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所确认的变更单和签证单为工程量计算依据。</w:t>
      </w:r>
    </w:p>
    <w:p w14:paraId="771D220B">
      <w:pPr>
        <w:spacing w:line="480" w:lineRule="exact"/>
        <w:ind w:firstLine="612" w:firstLineChars="255"/>
        <w:jc w:val="left"/>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rPr>
        <w:t>4.变更结算原则</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按</w:t>
      </w:r>
      <w:r>
        <w:rPr>
          <w:rFonts w:hint="eastAsia" w:ascii="仿宋" w:hAnsi="仿宋" w:eastAsia="仿宋" w:cs="仿宋"/>
          <w:color w:val="auto"/>
          <w:kern w:val="0"/>
          <w:sz w:val="24"/>
          <w:szCs w:val="22"/>
          <w:highlight w:val="none"/>
          <w:lang w:val="en-US" w:eastAsia="zh-CN"/>
        </w:rPr>
        <w:t>本合同第一条第7款执行。</w:t>
      </w:r>
    </w:p>
    <w:p w14:paraId="51B1BF6F">
      <w:pPr>
        <w:spacing w:line="480" w:lineRule="exact"/>
        <w:ind w:firstLine="482" w:firstLineChars="200"/>
        <w:jc w:val="center"/>
        <w:rPr>
          <w:rFonts w:hint="eastAsia" w:ascii="仿宋" w:hAnsi="仿宋" w:eastAsia="仿宋" w:cs="仿宋"/>
          <w:b/>
          <w:i w:val="0"/>
          <w:iCs w:val="0"/>
          <w:color w:val="auto"/>
          <w:kern w:val="0"/>
          <w:sz w:val="24"/>
          <w:szCs w:val="22"/>
          <w:highlight w:val="none"/>
        </w:rPr>
      </w:pPr>
    </w:p>
    <w:p w14:paraId="246662F0">
      <w:pPr>
        <w:spacing w:line="480" w:lineRule="exact"/>
        <w:ind w:firstLine="482" w:firstLineChars="200"/>
        <w:jc w:val="center"/>
        <w:rPr>
          <w:rFonts w:hint="eastAsia" w:ascii="仿宋" w:hAnsi="仿宋" w:eastAsia="仿宋" w:cs="仿宋"/>
          <w:i w:val="0"/>
          <w:iCs w:val="0"/>
          <w:color w:val="auto"/>
          <w:kern w:val="0"/>
          <w:sz w:val="24"/>
          <w:szCs w:val="22"/>
          <w:highlight w:val="none"/>
        </w:rPr>
      </w:pPr>
      <w:r>
        <w:rPr>
          <w:rFonts w:hint="eastAsia" w:ascii="仿宋" w:hAnsi="仿宋" w:eastAsia="仿宋" w:cs="仿宋"/>
          <w:b/>
          <w:i w:val="0"/>
          <w:iCs w:val="0"/>
          <w:color w:val="auto"/>
          <w:kern w:val="0"/>
          <w:sz w:val="24"/>
          <w:szCs w:val="22"/>
          <w:highlight w:val="none"/>
        </w:rPr>
        <w:t>第九条 工程质量</w:t>
      </w:r>
    </w:p>
    <w:p w14:paraId="220E1115">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1.乙方对工程质量全面负责，乙方必须严格按照国家现行标准、规范和设计的要求以及甲方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发出的指令施工，随时接受甲方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检查、检验。若达不到设计要求时，乙方应承担责任和所发生的费用，并赔偿甲方的有关损失，工期不得顺延。</w:t>
      </w:r>
    </w:p>
    <w:p w14:paraId="73A427A4">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2.工程质量以施工图、设计文件及国家、行业现行有关规范为依据。</w:t>
      </w:r>
    </w:p>
    <w:p w14:paraId="143B5331">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3.双方对工程质量有争议，且难以统一意见时，报请工程质量鉴定部门鉴定，其费用及因此造成的损失，由责任方承担。</w:t>
      </w:r>
    </w:p>
    <w:p w14:paraId="076C26A8">
      <w:pPr>
        <w:tabs>
          <w:tab w:val="left" w:pos="7140"/>
        </w:tabs>
        <w:spacing w:line="480" w:lineRule="exact"/>
        <w:ind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4.隐蔽工程及中间验收</w:t>
      </w:r>
    </w:p>
    <w:p w14:paraId="6CC618FD">
      <w:pPr>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4.1乙方在隐蔽工程部位隐蔽前或进行到中间验收部位时，应在自检合格后，隐蔽验收前</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小时向</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书面申请验收并准备验收记录，</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须在接到乙方申请后</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小时内派人进行验收，验收合格的，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在验收记录上签字，未经</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验收，乙方不得进行隐蔽或进入下一道工序施工。验收不合格，</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在</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限定的时间内</w:t>
      </w:r>
      <w:r>
        <w:rPr>
          <w:rFonts w:hint="eastAsia" w:ascii="仿宋" w:hAnsi="仿宋" w:eastAsia="仿宋" w:cs="仿宋"/>
          <w:color w:val="auto"/>
          <w:kern w:val="0"/>
          <w:sz w:val="24"/>
          <w:szCs w:val="20"/>
          <w:highlight w:val="none"/>
          <w:lang w:eastAsia="zh-CN"/>
        </w:rPr>
        <w:t>整改</w:t>
      </w:r>
      <w:r>
        <w:rPr>
          <w:rFonts w:hint="eastAsia" w:ascii="仿宋" w:hAnsi="仿宋" w:eastAsia="仿宋" w:cs="仿宋"/>
          <w:color w:val="auto"/>
          <w:kern w:val="0"/>
          <w:sz w:val="24"/>
          <w:szCs w:val="20"/>
          <w:highlight w:val="none"/>
        </w:rPr>
        <w:t>后重新验收，因验收不合格返工的，工期不予顺延。</w:t>
      </w:r>
    </w:p>
    <w:p w14:paraId="423BB3BF">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不能按时进行验收，应在验收前</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小时以书面形式向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提出延期要求，延期不能超过</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小时。甲方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未能按以上时间提出延期要求，不进行验收，</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可自行组织验收，甲方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应承认验收记录，相应工期顺延。</w:t>
      </w:r>
    </w:p>
    <w:p w14:paraId="4573A7BF">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4.3经</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验收，工程质量符合标准、规范和设计图纸等要求，验收</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小时后，</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不在验收记录上签字，视为</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已经认可验收记录，</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可进行隐蔽或继续施工。</w:t>
      </w:r>
    </w:p>
    <w:p w14:paraId="3BBFE2E1">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4.4所有设计及材料均应满足消防验收标准，由于乙方原因导致施工、材料等无法通过验收，乙方应无条件返工，直到达到验收合格标准为止，由此产生的一切费用及损失由乙方承担。</w:t>
      </w:r>
    </w:p>
    <w:p w14:paraId="05B7527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4.5工程施工期间或施工完成后，甲方可根据质量监督需要，委托第三方质量检测机构进行工程质量检测，如工程施工质量检测不合格的，应采取补强或返工措施，由此造成的经济损失和工期影响由乙方承担。</w:t>
      </w:r>
    </w:p>
    <w:p w14:paraId="170FC3FA">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6</w:t>
      </w:r>
      <w:bookmarkStart w:id="503" w:name="OLE_LINK9"/>
      <w:bookmarkStart w:id="504" w:name="OLE_LINK8"/>
      <w:r>
        <w:rPr>
          <w:rFonts w:hint="eastAsia" w:ascii="仿宋" w:hAnsi="仿宋" w:eastAsia="仿宋" w:cs="仿宋"/>
          <w:color w:val="auto"/>
          <w:kern w:val="0"/>
          <w:sz w:val="24"/>
          <w:szCs w:val="24"/>
          <w:highlight w:val="none"/>
          <w:u w:val="none"/>
        </w:rPr>
        <w:t>生产区、生活区可以分批进行竣工验收。</w:t>
      </w:r>
      <w:bookmarkEnd w:id="503"/>
      <w:bookmarkEnd w:id="504"/>
      <w:r>
        <w:rPr>
          <w:rFonts w:hint="eastAsia" w:ascii="仿宋" w:hAnsi="仿宋" w:eastAsia="仿宋" w:cs="仿宋"/>
          <w:color w:val="auto"/>
          <w:kern w:val="0"/>
          <w:sz w:val="24"/>
          <w:szCs w:val="20"/>
          <w:highlight w:val="none"/>
        </w:rPr>
        <w:t>工程具备竣工条件，乙方按工程建设施工及验收技术规范等规定向</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监理</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提交“竣工验收报告”申请验收，由乙方、监理、甲方联合验收，乙方按验收过程中所提</w:t>
      </w:r>
      <w:r>
        <w:rPr>
          <w:rFonts w:hint="eastAsia" w:ascii="仿宋" w:hAnsi="仿宋" w:eastAsia="仿宋" w:cs="仿宋"/>
          <w:color w:val="auto"/>
          <w:kern w:val="0"/>
          <w:sz w:val="24"/>
          <w:szCs w:val="20"/>
          <w:highlight w:val="none"/>
          <w:lang w:eastAsia="zh-CN"/>
        </w:rPr>
        <w:t>出的整改</w:t>
      </w:r>
      <w:r>
        <w:rPr>
          <w:rFonts w:hint="eastAsia" w:ascii="仿宋" w:hAnsi="仿宋" w:eastAsia="仿宋" w:cs="仿宋"/>
          <w:color w:val="auto"/>
          <w:kern w:val="0"/>
          <w:sz w:val="24"/>
          <w:szCs w:val="20"/>
          <w:highlight w:val="none"/>
        </w:rPr>
        <w:t>意见要求</w:t>
      </w:r>
      <w:r>
        <w:rPr>
          <w:rFonts w:hint="eastAsia" w:ascii="仿宋" w:hAnsi="仿宋" w:eastAsia="仿宋" w:cs="仿宋"/>
          <w:color w:val="auto"/>
          <w:kern w:val="0"/>
          <w:sz w:val="24"/>
          <w:szCs w:val="20"/>
          <w:highlight w:val="none"/>
          <w:lang w:val="en-US" w:eastAsia="zh-CN"/>
        </w:rPr>
        <w:t>整改</w:t>
      </w:r>
      <w:r>
        <w:rPr>
          <w:rFonts w:hint="eastAsia" w:ascii="仿宋" w:hAnsi="仿宋" w:eastAsia="仿宋" w:cs="仿宋"/>
          <w:color w:val="auto"/>
          <w:kern w:val="0"/>
          <w:sz w:val="24"/>
          <w:szCs w:val="20"/>
          <w:highlight w:val="none"/>
        </w:rPr>
        <w:t>，承担由于自身原因造成</w:t>
      </w:r>
      <w:r>
        <w:rPr>
          <w:rFonts w:hint="eastAsia" w:ascii="仿宋" w:hAnsi="仿宋" w:eastAsia="仿宋" w:cs="仿宋"/>
          <w:color w:val="auto"/>
          <w:kern w:val="0"/>
          <w:sz w:val="24"/>
          <w:szCs w:val="20"/>
          <w:highlight w:val="none"/>
          <w:lang w:eastAsia="zh-CN"/>
        </w:rPr>
        <w:t>整改</w:t>
      </w:r>
      <w:r>
        <w:rPr>
          <w:rFonts w:hint="eastAsia" w:ascii="仿宋" w:hAnsi="仿宋" w:eastAsia="仿宋" w:cs="仿宋"/>
          <w:color w:val="auto"/>
          <w:kern w:val="0"/>
          <w:sz w:val="24"/>
          <w:szCs w:val="20"/>
          <w:highlight w:val="none"/>
        </w:rPr>
        <w:t>所发生的费用。</w:t>
      </w:r>
    </w:p>
    <w:p w14:paraId="67BD4175">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4.7</w:t>
      </w:r>
      <w:r>
        <w:rPr>
          <w:rFonts w:hint="eastAsia" w:ascii="仿宋" w:hAnsi="仿宋" w:eastAsia="仿宋" w:cs="仿宋"/>
          <w:color w:val="auto"/>
          <w:kern w:val="0"/>
          <w:sz w:val="24"/>
          <w:szCs w:val="20"/>
          <w:highlight w:val="none"/>
        </w:rPr>
        <w:t>本工程</w:t>
      </w:r>
      <w:r>
        <w:rPr>
          <w:rFonts w:hint="eastAsia" w:ascii="仿宋" w:hAnsi="仿宋" w:eastAsia="仿宋" w:cs="仿宋"/>
          <w:color w:val="auto"/>
          <w:kern w:val="0"/>
          <w:sz w:val="24"/>
          <w:szCs w:val="20"/>
          <w:highlight w:val="none"/>
          <w:lang w:val="en-US" w:eastAsia="zh-CN"/>
        </w:rPr>
        <w:t>缺陷责任期</w:t>
      </w:r>
      <w:r>
        <w:rPr>
          <w:rFonts w:hint="eastAsia" w:ascii="仿宋" w:hAnsi="仿宋" w:eastAsia="仿宋" w:cs="仿宋"/>
          <w:color w:val="auto"/>
          <w:kern w:val="0"/>
          <w:sz w:val="24"/>
          <w:szCs w:val="20"/>
          <w:highlight w:val="none"/>
        </w:rPr>
        <w:t>为竣工验收合格之日起</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lang w:val="en-US" w:eastAsia="zh-CN"/>
        </w:rPr>
        <w:t>个月</w:t>
      </w:r>
      <w:r>
        <w:rPr>
          <w:rFonts w:hint="eastAsia" w:ascii="仿宋" w:hAnsi="仿宋" w:eastAsia="仿宋" w:cs="仿宋"/>
          <w:color w:val="auto"/>
          <w:kern w:val="0"/>
          <w:sz w:val="24"/>
          <w:szCs w:val="20"/>
          <w:highlight w:val="none"/>
        </w:rPr>
        <w:t>。在</w:t>
      </w:r>
      <w:r>
        <w:rPr>
          <w:rFonts w:hint="eastAsia" w:ascii="仿宋" w:hAnsi="仿宋" w:eastAsia="仿宋" w:cs="仿宋"/>
          <w:color w:val="auto"/>
          <w:kern w:val="0"/>
          <w:sz w:val="24"/>
          <w:szCs w:val="20"/>
          <w:highlight w:val="none"/>
          <w:lang w:val="en-US" w:eastAsia="zh-CN"/>
        </w:rPr>
        <w:t>缺陷责任期</w:t>
      </w:r>
      <w:r>
        <w:rPr>
          <w:rFonts w:hint="eastAsia" w:ascii="仿宋" w:hAnsi="仿宋" w:eastAsia="仿宋" w:cs="仿宋"/>
          <w:color w:val="auto"/>
          <w:kern w:val="0"/>
          <w:sz w:val="24"/>
          <w:szCs w:val="20"/>
          <w:highlight w:val="none"/>
        </w:rPr>
        <w:t>内，乙方应当在接到甲方通知后</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rPr>
        <w:t>日内安排人员进行维修、维护，发生的相关费用由乙方承担。乙方在接到甲方通知后未按时进行维修、维护的，甲方有权委托第三方进行维修维护，发生的相关费用，甲方有权直接从工程质量保修金中予以扣除，不足部分，甲方有权向乙方追偿。</w:t>
      </w:r>
    </w:p>
    <w:p w14:paraId="6BEE2A12">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4.8 </w:t>
      </w:r>
      <w:r>
        <w:rPr>
          <w:rFonts w:hint="eastAsia" w:ascii="仿宋" w:hAnsi="仿宋" w:eastAsia="仿宋" w:cs="仿宋"/>
          <w:color w:val="auto"/>
          <w:kern w:val="0"/>
          <w:sz w:val="24"/>
          <w:szCs w:val="20"/>
          <w:highlight w:val="none"/>
        </w:rPr>
        <w:t>冬雨季施工，乙方应按照冬雨季施工规范、规程、施工方案等做好相关防护措施，若因防护措施不到位造成的工程质量问题，一切损失由乙方承担。</w:t>
      </w:r>
    </w:p>
    <w:p w14:paraId="4696D4E8">
      <w:pPr>
        <w:widowControl w:val="0"/>
        <w:spacing w:line="360" w:lineRule="auto"/>
        <w:ind w:firstLine="420" w:firstLineChars="200"/>
        <w:rPr>
          <w:rFonts w:hint="eastAsia" w:ascii="仿宋" w:hAnsi="仿宋" w:eastAsia="仿宋" w:cs="仿宋"/>
          <w:color w:val="auto"/>
          <w:sz w:val="21"/>
          <w:szCs w:val="21"/>
          <w:highlight w:val="none"/>
          <w:lang w:val="zh-CN" w:eastAsia="zh-CN" w:bidi="zh-CN"/>
        </w:rPr>
      </w:pPr>
    </w:p>
    <w:p w14:paraId="79AE72C4">
      <w:pPr>
        <w:spacing w:line="480" w:lineRule="exact"/>
        <w:ind w:firstLine="482" w:firstLineChars="200"/>
        <w:jc w:val="center"/>
        <w:rPr>
          <w:rFonts w:hint="eastAsia" w:ascii="仿宋" w:hAnsi="仿宋" w:eastAsia="仿宋" w:cs="仿宋"/>
          <w:b/>
          <w:color w:val="auto"/>
          <w:kern w:val="0"/>
          <w:sz w:val="24"/>
          <w:szCs w:val="22"/>
          <w:highlight w:val="none"/>
        </w:rPr>
      </w:pPr>
      <w:r>
        <w:rPr>
          <w:rFonts w:hint="eastAsia" w:ascii="仿宋" w:hAnsi="仿宋" w:eastAsia="仿宋" w:cs="仿宋"/>
          <w:b/>
          <w:color w:val="auto"/>
          <w:kern w:val="0"/>
          <w:sz w:val="24"/>
          <w:szCs w:val="22"/>
          <w:highlight w:val="none"/>
        </w:rPr>
        <w:t>第十条  财务拨款与结算</w:t>
      </w:r>
    </w:p>
    <w:p w14:paraId="547B1D50">
      <w:pPr>
        <w:tabs>
          <w:tab w:val="left" w:pos="7140"/>
        </w:tabs>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b w:val="0"/>
          <w:bCs w:val="0"/>
          <w:color w:val="auto"/>
          <w:kern w:val="0"/>
          <w:sz w:val="24"/>
          <w:szCs w:val="20"/>
          <w:highlight w:val="none"/>
          <w:lang w:val="en-US" w:eastAsia="zh-CN"/>
        </w:rPr>
        <w:t xml:space="preserve">1. </w:t>
      </w:r>
      <w:r>
        <w:rPr>
          <w:rFonts w:hint="eastAsia" w:ascii="仿宋" w:hAnsi="仿宋" w:eastAsia="仿宋" w:cs="仿宋"/>
          <w:b w:val="0"/>
          <w:bCs w:val="0"/>
          <w:color w:val="auto"/>
          <w:kern w:val="0"/>
          <w:sz w:val="24"/>
          <w:szCs w:val="20"/>
          <w:highlight w:val="none"/>
          <w:u w:val="single"/>
          <w:lang w:val="en-US" w:eastAsia="zh-CN"/>
        </w:rPr>
        <w:t xml:space="preserve">                                     </w:t>
      </w:r>
      <w:r>
        <w:rPr>
          <w:rFonts w:hint="eastAsia" w:ascii="仿宋" w:hAnsi="仿宋" w:eastAsia="仿宋" w:cs="仿宋"/>
          <w:b w:val="0"/>
          <w:bCs w:val="0"/>
          <w:color w:val="auto"/>
          <w:kern w:val="0"/>
          <w:sz w:val="24"/>
          <w:szCs w:val="20"/>
          <w:highlight w:val="none"/>
          <w:lang w:val="en-US" w:eastAsia="zh-CN"/>
        </w:rPr>
        <w:t>。</w:t>
      </w:r>
    </w:p>
    <w:p w14:paraId="373E8F87">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第十一条  违</w:t>
      </w:r>
      <w:r>
        <w:rPr>
          <w:rFonts w:hint="eastAsia" w:ascii="仿宋" w:hAnsi="仿宋" w:eastAsia="仿宋" w:cs="仿宋"/>
          <w:b/>
          <w:color w:val="auto"/>
          <w:kern w:val="0"/>
          <w:sz w:val="24"/>
          <w:szCs w:val="22"/>
          <w:highlight w:val="none"/>
          <w:lang w:val="en-US" w:eastAsia="zh-CN"/>
        </w:rPr>
        <w:t xml:space="preserve">  </w:t>
      </w:r>
      <w:r>
        <w:rPr>
          <w:rFonts w:hint="eastAsia" w:ascii="仿宋" w:hAnsi="仿宋" w:eastAsia="仿宋" w:cs="仿宋"/>
          <w:b/>
          <w:color w:val="auto"/>
          <w:kern w:val="0"/>
          <w:sz w:val="24"/>
          <w:szCs w:val="22"/>
          <w:highlight w:val="none"/>
        </w:rPr>
        <w:t>约</w:t>
      </w:r>
    </w:p>
    <w:p w14:paraId="38AE196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1.乙方应对承包工程实行网络计划管理，并及时向甲方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提供进度控制和网络计划，甲方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根据双方认可的网络计划进行考核。</w:t>
      </w:r>
    </w:p>
    <w:p w14:paraId="0C3CF17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2.乙方若因自身原因不能按合同工期完工移交，乙方应偿付逾期违约金，每拖延一天乙方向甲方支付违约金</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2"/>
          <w:highlight w:val="none"/>
        </w:rPr>
        <w:t>元/天。</w:t>
      </w:r>
    </w:p>
    <w:p w14:paraId="52D7DFF9">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3.因不可抗拒的自然因素影响而延长施工期限，乙方应向甲方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提出报告，经甲方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认定后，可适当顺延。如不及时报告甲方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或未征得甲方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同意，其所造成的全部损失均由乙方承担。</w:t>
      </w:r>
    </w:p>
    <w:p w14:paraId="4E8D587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4.乙方施工质量未达到合同要求的标准时，乙方应无条件返修至合同要求的质量标准且工期不顺延，产生的相关损失及费用全部由乙方承担。</w:t>
      </w:r>
    </w:p>
    <w:p w14:paraId="6161F348">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rPr>
        <w:t>乙方违约应当赔偿给甲方造成的</w:t>
      </w:r>
      <w:r>
        <w:rPr>
          <w:rFonts w:hint="eastAsia" w:ascii="仿宋" w:hAnsi="仿宋" w:eastAsia="仿宋" w:cs="仿宋"/>
          <w:color w:val="auto"/>
          <w:kern w:val="0"/>
          <w:sz w:val="24"/>
          <w:szCs w:val="22"/>
          <w:highlight w:val="none"/>
          <w:lang w:val="en-US" w:eastAsia="zh-CN"/>
        </w:rPr>
        <w:t>全部</w:t>
      </w:r>
      <w:r>
        <w:rPr>
          <w:rFonts w:hint="eastAsia" w:ascii="仿宋" w:hAnsi="仿宋" w:eastAsia="仿宋" w:cs="仿宋"/>
          <w:color w:val="auto"/>
          <w:kern w:val="0"/>
          <w:sz w:val="24"/>
          <w:szCs w:val="22"/>
          <w:highlight w:val="none"/>
        </w:rPr>
        <w:t>损失</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直接损失和可得利益损失）</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同时承担守约方为实现债权所发生的一切费用，包括但不限于评估费用、鉴定费用、证据保全费用、财产保全费用、诉讼费用、执行费用，以及律师费用、交通费、住宿费等差旅费和其他为解决争议而支出的全部费用。</w:t>
      </w:r>
    </w:p>
    <w:p w14:paraId="4BD4DF91">
      <w:pPr>
        <w:spacing w:line="480" w:lineRule="exact"/>
        <w:ind w:firstLine="482" w:firstLineChars="200"/>
        <w:jc w:val="center"/>
        <w:rPr>
          <w:rFonts w:hint="eastAsia" w:ascii="仿宋" w:hAnsi="仿宋" w:eastAsia="仿宋" w:cs="仿宋"/>
          <w:b/>
          <w:color w:val="auto"/>
          <w:kern w:val="0"/>
          <w:sz w:val="24"/>
          <w:szCs w:val="22"/>
          <w:highlight w:val="none"/>
        </w:rPr>
      </w:pPr>
    </w:p>
    <w:p w14:paraId="361C6DAC">
      <w:pPr>
        <w:spacing w:line="480" w:lineRule="exact"/>
        <w:ind w:firstLine="482" w:firstLineChars="200"/>
        <w:jc w:val="center"/>
        <w:rPr>
          <w:rFonts w:hint="eastAsia" w:ascii="仿宋" w:hAnsi="仿宋" w:eastAsia="仿宋" w:cs="仿宋"/>
          <w:color w:val="auto"/>
          <w:kern w:val="0"/>
          <w:sz w:val="24"/>
          <w:szCs w:val="22"/>
          <w:highlight w:val="none"/>
        </w:rPr>
      </w:pPr>
      <w:r>
        <w:rPr>
          <w:rFonts w:hint="eastAsia" w:ascii="仿宋" w:hAnsi="仿宋" w:eastAsia="仿宋" w:cs="仿宋"/>
          <w:b/>
          <w:color w:val="auto"/>
          <w:kern w:val="0"/>
          <w:sz w:val="24"/>
          <w:szCs w:val="22"/>
          <w:highlight w:val="none"/>
        </w:rPr>
        <w:t xml:space="preserve">第十二条  其  </w:t>
      </w:r>
      <w:r>
        <w:rPr>
          <w:rFonts w:hint="eastAsia" w:ascii="仿宋" w:hAnsi="仿宋" w:eastAsia="仿宋" w:cs="仿宋"/>
          <w:b/>
          <w:color w:val="auto"/>
          <w:kern w:val="0"/>
          <w:sz w:val="24"/>
          <w:szCs w:val="22"/>
          <w:highlight w:val="none"/>
          <w:lang w:eastAsia="zh-CN"/>
        </w:rPr>
        <w:t>他</w:t>
      </w:r>
    </w:p>
    <w:p w14:paraId="6574C008">
      <w:pPr>
        <w:spacing w:line="480" w:lineRule="exact"/>
        <w:ind w:firstLine="480" w:firstLineChars="200"/>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工程不允许转包，若发现转包现象甲方有权解除合同，并取消乙方的施工资格，对于已完合格工程价款的支付按验收工程量进度价款的一半支付；剩余工程价款，甲方不再支付，给甲方造成的损失乙方也应予赔偿。</w:t>
      </w:r>
    </w:p>
    <w:p w14:paraId="54C76B3D">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rPr>
        <w:t>.本合同</w:t>
      </w:r>
      <w:r>
        <w:rPr>
          <w:rFonts w:hint="eastAsia" w:ascii="仿宋" w:hAnsi="仿宋" w:eastAsia="仿宋" w:cs="仿宋"/>
          <w:color w:val="auto"/>
          <w:kern w:val="0"/>
          <w:sz w:val="24"/>
          <w:szCs w:val="22"/>
          <w:highlight w:val="none"/>
          <w:lang w:val="en-US" w:eastAsia="zh-CN"/>
        </w:rPr>
        <w:t>履行期间</w:t>
      </w:r>
      <w:r>
        <w:rPr>
          <w:rFonts w:hint="eastAsia" w:ascii="仿宋" w:hAnsi="仿宋" w:eastAsia="仿宋" w:cs="仿宋"/>
          <w:color w:val="auto"/>
          <w:kern w:val="0"/>
          <w:sz w:val="24"/>
          <w:szCs w:val="22"/>
          <w:highlight w:val="none"/>
        </w:rPr>
        <w:t>，所产生的科技成果由双方共同享有。</w:t>
      </w:r>
    </w:p>
    <w:p w14:paraId="28F8B06A">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rPr>
        <w:t>.乙方应接受甲方</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监理</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rPr>
        <w:t>对安全方面的监督、检查</w:t>
      </w:r>
      <w:r>
        <w:rPr>
          <w:rFonts w:hint="eastAsia" w:ascii="仿宋" w:hAnsi="仿宋" w:eastAsia="仿宋" w:cs="仿宋"/>
          <w:color w:val="auto"/>
          <w:kern w:val="0"/>
          <w:sz w:val="24"/>
          <w:szCs w:val="22"/>
          <w:highlight w:val="none"/>
          <w:lang w:eastAsia="zh-CN"/>
        </w:rPr>
        <w:t>，</w:t>
      </w:r>
      <w:r>
        <w:rPr>
          <w:rFonts w:hint="eastAsia" w:ascii="仿宋" w:hAnsi="仿宋" w:eastAsia="仿宋" w:cs="仿宋"/>
          <w:color w:val="auto"/>
          <w:kern w:val="0"/>
          <w:sz w:val="24"/>
          <w:szCs w:val="22"/>
          <w:highlight w:val="none"/>
          <w:lang w:val="en-US" w:eastAsia="zh-CN"/>
        </w:rPr>
        <w:t>发生安全事故</w:t>
      </w:r>
      <w:r>
        <w:rPr>
          <w:rFonts w:hint="eastAsia" w:ascii="仿宋" w:hAnsi="仿宋" w:eastAsia="仿宋" w:cs="仿宋"/>
          <w:color w:val="auto"/>
          <w:kern w:val="0"/>
          <w:sz w:val="24"/>
          <w:szCs w:val="22"/>
          <w:highlight w:val="none"/>
        </w:rPr>
        <w:t>应由乙方支付赔偿费用</w:t>
      </w:r>
      <w:r>
        <w:rPr>
          <w:rFonts w:hint="eastAsia" w:ascii="仿宋" w:hAnsi="仿宋" w:eastAsia="仿宋" w:cs="仿宋"/>
          <w:color w:val="auto"/>
          <w:kern w:val="0"/>
          <w:sz w:val="24"/>
          <w:szCs w:val="22"/>
          <w:highlight w:val="none"/>
          <w:lang w:val="en-US" w:eastAsia="zh-CN"/>
        </w:rPr>
        <w:t>并承担相应责任</w:t>
      </w:r>
      <w:r>
        <w:rPr>
          <w:rFonts w:hint="eastAsia" w:ascii="仿宋" w:hAnsi="仿宋" w:eastAsia="仿宋" w:cs="仿宋"/>
          <w:color w:val="auto"/>
          <w:kern w:val="0"/>
          <w:sz w:val="24"/>
          <w:szCs w:val="22"/>
          <w:highlight w:val="none"/>
        </w:rPr>
        <w:t>。</w:t>
      </w:r>
    </w:p>
    <w:p w14:paraId="7BF14AEE">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rPr>
        <w:t>.因人力不可抗拒的灾害发生的费用，由双方协商。</w:t>
      </w:r>
    </w:p>
    <w:p w14:paraId="6B0BBAE1">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rPr>
        <w:t>.乙方须自行承担招标范围内的所有材料市场价格的浮动，在工程执行期间，材料市场价格、机械、人工价格出现变化，由此引发的费用，由乙方自行承担，甲方一概不再支付相关费用。</w:t>
      </w:r>
    </w:p>
    <w:p w14:paraId="16C7C12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6</w:t>
      </w:r>
      <w:r>
        <w:rPr>
          <w:rFonts w:hint="eastAsia" w:ascii="仿宋" w:hAnsi="仿宋" w:eastAsia="仿宋" w:cs="仿宋"/>
          <w:color w:val="auto"/>
          <w:kern w:val="0"/>
          <w:sz w:val="24"/>
          <w:szCs w:val="22"/>
          <w:highlight w:val="none"/>
        </w:rPr>
        <w:t>.本合同由双方法定代表人或委托代理人</w:t>
      </w:r>
      <w:r>
        <w:rPr>
          <w:rFonts w:hint="eastAsia" w:ascii="仿宋" w:hAnsi="仿宋" w:eastAsia="仿宋" w:cs="仿宋"/>
          <w:color w:val="auto"/>
          <w:kern w:val="0"/>
          <w:sz w:val="24"/>
          <w:szCs w:val="22"/>
          <w:highlight w:val="none"/>
          <w:lang w:val="en-US" w:eastAsia="zh-CN"/>
        </w:rPr>
        <w:t>签名</w:t>
      </w:r>
      <w:r>
        <w:rPr>
          <w:rFonts w:hint="eastAsia" w:ascii="仿宋" w:hAnsi="仿宋" w:eastAsia="仿宋" w:cs="仿宋"/>
          <w:color w:val="auto"/>
          <w:kern w:val="0"/>
          <w:sz w:val="24"/>
          <w:szCs w:val="22"/>
          <w:highlight w:val="none"/>
        </w:rPr>
        <w:t>，加盖单位公章（或合同专用章）后生效，合同生效后要求双方必须严格执行，如有未尽事宜，双方协商解决，协商不能解决的，双方一致同意将该争议提交工程所在地人民法院依法裁决。</w:t>
      </w:r>
    </w:p>
    <w:p w14:paraId="71D2FFA0">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7</w:t>
      </w:r>
      <w:r>
        <w:rPr>
          <w:rFonts w:hint="eastAsia" w:ascii="仿宋" w:hAnsi="仿宋" w:eastAsia="仿宋" w:cs="仿宋"/>
          <w:color w:val="auto"/>
          <w:kern w:val="0"/>
          <w:sz w:val="24"/>
          <w:szCs w:val="22"/>
          <w:highlight w:val="none"/>
        </w:rPr>
        <w:t>.本合同一式捌份，甲方执陆份，乙方执贰份。</w:t>
      </w:r>
    </w:p>
    <w:p w14:paraId="0DB9F2B6">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8</w:t>
      </w:r>
      <w:r>
        <w:rPr>
          <w:rFonts w:hint="eastAsia" w:ascii="仿宋" w:hAnsi="仿宋" w:eastAsia="仿宋" w:cs="仿宋"/>
          <w:color w:val="auto"/>
          <w:kern w:val="0"/>
          <w:sz w:val="24"/>
          <w:szCs w:val="22"/>
          <w:highlight w:val="none"/>
        </w:rPr>
        <w:t>.本工程的招标</w:t>
      </w:r>
      <w:r>
        <w:rPr>
          <w:rFonts w:hint="eastAsia" w:ascii="仿宋" w:hAnsi="仿宋" w:eastAsia="仿宋" w:cs="仿宋"/>
          <w:color w:val="auto"/>
          <w:kern w:val="0"/>
          <w:sz w:val="24"/>
          <w:szCs w:val="22"/>
          <w:highlight w:val="none"/>
          <w:lang w:val="en-US" w:eastAsia="zh-CN"/>
        </w:rPr>
        <w:t>公告</w:t>
      </w:r>
      <w:r>
        <w:rPr>
          <w:rFonts w:hint="eastAsia" w:ascii="仿宋" w:hAnsi="仿宋" w:eastAsia="仿宋" w:cs="仿宋"/>
          <w:color w:val="auto"/>
          <w:kern w:val="0"/>
          <w:sz w:val="24"/>
          <w:szCs w:val="22"/>
          <w:highlight w:val="none"/>
        </w:rPr>
        <w:t>、招标文件、</w:t>
      </w:r>
      <w:r>
        <w:rPr>
          <w:rFonts w:hint="eastAsia" w:ascii="仿宋" w:hAnsi="仿宋" w:eastAsia="仿宋" w:cs="仿宋"/>
          <w:color w:val="auto"/>
          <w:kern w:val="0"/>
          <w:sz w:val="24"/>
          <w:szCs w:val="22"/>
          <w:highlight w:val="none"/>
          <w:lang w:val="en-US" w:eastAsia="zh-CN"/>
        </w:rPr>
        <w:t>投标文件、</w:t>
      </w:r>
      <w:r>
        <w:rPr>
          <w:rFonts w:hint="eastAsia" w:ascii="仿宋" w:hAnsi="仿宋" w:eastAsia="仿宋" w:cs="仿宋"/>
          <w:color w:val="auto"/>
          <w:kern w:val="0"/>
          <w:sz w:val="24"/>
          <w:szCs w:val="22"/>
          <w:highlight w:val="none"/>
        </w:rPr>
        <w:t>开评标质疑、招标答疑以及补充协议、招标承诺均与本合同具有同等法律效力，上述与本合同发生矛盾时，以本合同为准。</w:t>
      </w:r>
    </w:p>
    <w:p w14:paraId="099BA0C2">
      <w:pPr>
        <w:spacing w:line="480" w:lineRule="exact"/>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val="en-US" w:eastAsia="zh-CN"/>
        </w:rPr>
        <w:t>9.</w:t>
      </w:r>
      <w:r>
        <w:rPr>
          <w:rFonts w:hint="eastAsia" w:ascii="仿宋" w:hAnsi="仿宋" w:eastAsia="仿宋" w:cs="仿宋"/>
          <w:color w:val="auto"/>
          <w:kern w:val="0"/>
          <w:sz w:val="24"/>
          <w:szCs w:val="22"/>
          <w:highlight w:val="none"/>
        </w:rPr>
        <w:t>双方确认本合同所记载的通讯地址为其真实有效的通讯地址及诉讼文书送达地址。各方所需送达的文件邮寄、传真或直接</w:t>
      </w:r>
      <w:r>
        <w:rPr>
          <w:rFonts w:hint="eastAsia" w:ascii="仿宋" w:hAnsi="仿宋" w:eastAsia="仿宋" w:cs="仿宋"/>
          <w:color w:val="auto"/>
          <w:kern w:val="0"/>
          <w:sz w:val="24"/>
          <w:szCs w:val="22"/>
          <w:highlight w:val="none"/>
          <w:lang w:eastAsia="zh-CN"/>
        </w:rPr>
        <w:t>送达</w:t>
      </w:r>
      <w:r>
        <w:rPr>
          <w:rFonts w:hint="eastAsia" w:ascii="仿宋" w:hAnsi="仿宋" w:eastAsia="仿宋" w:cs="仿宋"/>
          <w:color w:val="auto"/>
          <w:kern w:val="0"/>
          <w:sz w:val="24"/>
          <w:szCs w:val="22"/>
          <w:highlight w:val="none"/>
        </w:rPr>
        <w:t>该通讯地址即视为送达方履行了送达义务。如地址发生变化，各方应及时书面告知对方，否则因此引起的法律后果由未通知方承担。</w:t>
      </w:r>
    </w:p>
    <w:p w14:paraId="516FED63">
      <w:pPr>
        <w:spacing w:line="440" w:lineRule="exact"/>
        <w:ind w:left="0" w:lef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以下无正文</w:t>
      </w:r>
      <w:r>
        <w:rPr>
          <w:rFonts w:hint="eastAsia" w:ascii="仿宋" w:hAnsi="仿宋" w:eastAsia="仿宋" w:cs="仿宋"/>
          <w:color w:val="auto"/>
          <w:kern w:val="0"/>
          <w:sz w:val="24"/>
          <w:szCs w:val="24"/>
          <w:highlight w:val="none"/>
          <w:lang w:eastAsia="zh-CN"/>
        </w:rPr>
        <w:t>）</w:t>
      </w:r>
    </w:p>
    <w:p w14:paraId="5BD1B30C">
      <w:pPr>
        <w:bidi w:val="0"/>
        <w:spacing w:line="360" w:lineRule="auto"/>
        <w:ind w:firstLine="480" w:firstLineChars="200"/>
        <w:jc w:val="left"/>
        <w:rPr>
          <w:rFonts w:hint="eastAsia" w:ascii="仿宋" w:hAnsi="仿宋" w:eastAsia="仿宋" w:cs="仿宋"/>
          <w:color w:val="auto"/>
          <w:kern w:val="0"/>
          <w:sz w:val="24"/>
          <w:szCs w:val="22"/>
          <w:highlight w:val="none"/>
          <w:lang w:eastAsia="zh-CN"/>
        </w:rPr>
      </w:pPr>
    </w:p>
    <w:p w14:paraId="257B08E4">
      <w:pPr>
        <w:spacing w:line="440" w:lineRule="exact"/>
        <w:ind w:left="0" w:lef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此页无正文，为合同签章页。</w:t>
      </w:r>
      <w:r>
        <w:rPr>
          <w:rFonts w:hint="eastAsia" w:ascii="仿宋" w:hAnsi="仿宋" w:eastAsia="仿宋" w:cs="仿宋"/>
          <w:color w:val="auto"/>
          <w:kern w:val="0"/>
          <w:sz w:val="24"/>
          <w:szCs w:val="24"/>
          <w:highlight w:val="none"/>
          <w:lang w:eastAsia="zh-CN"/>
        </w:rPr>
        <w:t>）</w:t>
      </w:r>
    </w:p>
    <w:p w14:paraId="12060A1F">
      <w:pPr>
        <w:spacing w:line="440" w:lineRule="exact"/>
        <w:ind w:left="0" w:leftChars="0" w:firstLine="0" w:firstLineChars="0"/>
        <w:jc w:val="left"/>
        <w:rPr>
          <w:rFonts w:hint="eastAsia" w:ascii="仿宋" w:hAnsi="仿宋" w:eastAsia="仿宋" w:cs="仿宋"/>
          <w:color w:val="auto"/>
          <w:kern w:val="0"/>
          <w:sz w:val="24"/>
          <w:szCs w:val="24"/>
          <w:highlight w:val="none"/>
        </w:rPr>
      </w:pPr>
    </w:p>
    <w:p w14:paraId="7A1FC979">
      <w:pPr>
        <w:spacing w:line="440" w:lineRule="exact"/>
        <w:ind w:left="0" w:lef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乙方名称：</w:t>
      </w:r>
      <w:r>
        <w:rPr>
          <w:rFonts w:hint="eastAsia" w:ascii="仿宋" w:hAnsi="仿宋" w:eastAsia="仿宋" w:cs="仿宋"/>
          <w:b w:val="0"/>
          <w:bCs w:val="0"/>
          <w:color w:val="auto"/>
          <w:kern w:val="0"/>
          <w:sz w:val="24"/>
          <w:szCs w:val="24"/>
          <w:highlight w:val="none"/>
          <w:lang w:val="en-US" w:eastAsia="zh-CN"/>
        </w:rPr>
        <w:t xml:space="preserve"> </w:t>
      </w:r>
    </w:p>
    <w:p w14:paraId="2CD24FA7">
      <w:pPr>
        <w:spacing w:line="44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（盖章）                             （盖章）</w:t>
      </w:r>
    </w:p>
    <w:p w14:paraId="2145F478">
      <w:pPr>
        <w:spacing w:line="440" w:lineRule="exact"/>
        <w:ind w:firstLine="480" w:firstLineChars="200"/>
        <w:jc w:val="left"/>
        <w:rPr>
          <w:rFonts w:hint="eastAsia" w:ascii="仿宋" w:hAnsi="仿宋" w:eastAsia="仿宋" w:cs="仿宋"/>
          <w:color w:val="auto"/>
          <w:kern w:val="0"/>
          <w:sz w:val="24"/>
          <w:szCs w:val="24"/>
          <w:highlight w:val="none"/>
        </w:rPr>
      </w:pPr>
    </w:p>
    <w:p w14:paraId="17A95A1E">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w:t>
      </w:r>
      <w:r>
        <w:rPr>
          <w:rFonts w:hint="eastAsia" w:ascii="仿宋" w:hAnsi="仿宋" w:eastAsia="仿宋" w:cs="仿宋"/>
          <w:color w:val="auto"/>
          <w:kern w:val="0"/>
          <w:sz w:val="24"/>
          <w:szCs w:val="24"/>
          <w:highlight w:val="none"/>
          <w:lang w:val="en-US" w:eastAsia="zh-CN"/>
        </w:rPr>
        <w:t>签名</w:t>
      </w:r>
      <w:r>
        <w:rPr>
          <w:rFonts w:hint="eastAsia" w:ascii="仿宋" w:hAnsi="仿宋" w:eastAsia="仿宋" w:cs="仿宋"/>
          <w:color w:val="auto"/>
          <w:kern w:val="0"/>
          <w:sz w:val="24"/>
          <w:szCs w:val="24"/>
          <w:highlight w:val="none"/>
        </w:rPr>
        <w:t>）                 法定代表人：（</w:t>
      </w:r>
      <w:r>
        <w:rPr>
          <w:rFonts w:hint="eastAsia" w:ascii="仿宋" w:hAnsi="仿宋" w:eastAsia="仿宋" w:cs="仿宋"/>
          <w:color w:val="auto"/>
          <w:kern w:val="0"/>
          <w:sz w:val="24"/>
          <w:szCs w:val="24"/>
          <w:highlight w:val="none"/>
          <w:lang w:val="en-US" w:eastAsia="zh-CN"/>
        </w:rPr>
        <w:t>签名</w:t>
      </w:r>
      <w:r>
        <w:rPr>
          <w:rFonts w:hint="eastAsia" w:ascii="仿宋" w:hAnsi="仿宋" w:eastAsia="仿宋" w:cs="仿宋"/>
          <w:color w:val="auto"/>
          <w:kern w:val="0"/>
          <w:sz w:val="24"/>
          <w:szCs w:val="24"/>
          <w:highlight w:val="none"/>
        </w:rPr>
        <w:t>）</w:t>
      </w:r>
    </w:p>
    <w:p w14:paraId="47136493">
      <w:pPr>
        <w:spacing w:line="440" w:lineRule="exact"/>
        <w:ind w:firstLine="480" w:firstLineChars="200"/>
        <w:jc w:val="left"/>
        <w:rPr>
          <w:rFonts w:hint="eastAsia" w:ascii="仿宋" w:hAnsi="仿宋" w:eastAsia="仿宋" w:cs="仿宋"/>
          <w:color w:val="auto"/>
          <w:kern w:val="0"/>
          <w:sz w:val="24"/>
          <w:szCs w:val="24"/>
          <w:highlight w:val="none"/>
        </w:rPr>
      </w:pPr>
    </w:p>
    <w:p w14:paraId="2C4E6C41">
      <w:pPr>
        <w:spacing w:line="440" w:lineRule="exact"/>
        <w:ind w:firstLine="480" w:firstLineChars="200"/>
        <w:jc w:val="left"/>
        <w:rPr>
          <w:rFonts w:hint="eastAsia" w:ascii="仿宋" w:hAnsi="仿宋" w:eastAsia="仿宋" w:cs="仿宋"/>
          <w:color w:val="auto"/>
          <w:kern w:val="0"/>
          <w:sz w:val="24"/>
          <w:szCs w:val="24"/>
          <w:highlight w:val="none"/>
        </w:rPr>
      </w:pPr>
    </w:p>
    <w:p w14:paraId="436B6F4D">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委托代理人：（</w:t>
      </w:r>
      <w:r>
        <w:rPr>
          <w:rFonts w:hint="eastAsia" w:ascii="仿宋" w:hAnsi="仿宋" w:eastAsia="仿宋" w:cs="仿宋"/>
          <w:color w:val="auto"/>
          <w:kern w:val="0"/>
          <w:sz w:val="24"/>
          <w:szCs w:val="24"/>
          <w:highlight w:val="none"/>
          <w:lang w:val="en-US" w:eastAsia="zh-CN"/>
        </w:rPr>
        <w:t>签名</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委托代理人：（</w:t>
      </w:r>
      <w:r>
        <w:rPr>
          <w:rFonts w:hint="eastAsia" w:ascii="仿宋" w:hAnsi="仿宋" w:eastAsia="仿宋" w:cs="仿宋"/>
          <w:color w:val="auto"/>
          <w:kern w:val="0"/>
          <w:sz w:val="24"/>
          <w:szCs w:val="24"/>
          <w:highlight w:val="none"/>
          <w:lang w:val="en-US" w:eastAsia="zh-CN"/>
        </w:rPr>
        <w:t>签名</w:t>
      </w:r>
      <w:r>
        <w:rPr>
          <w:rFonts w:hint="eastAsia" w:ascii="仿宋" w:hAnsi="仿宋" w:eastAsia="仿宋" w:cs="仿宋"/>
          <w:color w:val="auto"/>
          <w:kern w:val="0"/>
          <w:sz w:val="24"/>
          <w:szCs w:val="24"/>
          <w:highlight w:val="none"/>
        </w:rPr>
        <w:t>）</w:t>
      </w:r>
    </w:p>
    <w:p w14:paraId="5187B7E5">
      <w:pPr>
        <w:spacing w:line="440" w:lineRule="exact"/>
        <w:ind w:firstLine="480" w:firstLineChars="200"/>
        <w:jc w:val="left"/>
        <w:rPr>
          <w:rFonts w:hint="eastAsia" w:ascii="仿宋" w:hAnsi="仿宋" w:eastAsia="仿宋" w:cs="仿宋"/>
          <w:color w:val="auto"/>
          <w:kern w:val="0"/>
          <w:sz w:val="24"/>
          <w:szCs w:val="24"/>
          <w:highlight w:val="none"/>
        </w:rPr>
      </w:pPr>
    </w:p>
    <w:p w14:paraId="73080F85">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邮政编码：</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邮政编码：</w:t>
      </w:r>
      <w:r>
        <w:rPr>
          <w:rFonts w:hint="eastAsia" w:ascii="仿宋" w:hAnsi="仿宋" w:eastAsia="仿宋" w:cs="仿宋"/>
          <w:i w:val="0"/>
          <w:iCs w:val="0"/>
          <w:caps w:val="0"/>
          <w:color w:val="auto"/>
          <w:spacing w:val="0"/>
          <w:kern w:val="0"/>
          <w:sz w:val="24"/>
          <w:szCs w:val="24"/>
          <w:highlight w:val="none"/>
          <w:shd w:val="clear" w:fill="auto"/>
          <w:lang w:val="en-US" w:eastAsia="zh-CN"/>
        </w:rPr>
        <w:t xml:space="preserve">  </w:t>
      </w:r>
      <w:r>
        <w:rPr>
          <w:rFonts w:hint="eastAsia" w:ascii="仿宋" w:hAnsi="仿宋" w:eastAsia="仿宋" w:cs="仿宋"/>
          <w:color w:val="auto"/>
          <w:kern w:val="0"/>
          <w:sz w:val="24"/>
          <w:szCs w:val="24"/>
          <w:highlight w:val="none"/>
        </w:rPr>
        <w:t xml:space="preserve"> </w:t>
      </w:r>
    </w:p>
    <w:p w14:paraId="3EFBCA55">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电    话：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电    话： </w:t>
      </w:r>
    </w:p>
    <w:p w14:paraId="3CA3C6F2">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传    真：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传    真： </w:t>
      </w:r>
    </w:p>
    <w:p w14:paraId="18CC2546">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电子邮箱：</w:t>
      </w:r>
      <w:r>
        <w:rPr>
          <w:rFonts w:hint="eastAsia" w:ascii="仿宋" w:hAnsi="仿宋" w:eastAsia="仿宋" w:cs="仿宋"/>
          <w:color w:val="auto"/>
          <w:spacing w:val="0"/>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电子邮箱：</w:t>
      </w:r>
    </w:p>
    <w:p w14:paraId="479BBA6E">
      <w:pPr>
        <w:spacing w:line="440" w:lineRule="exact"/>
        <w:ind w:left="0" w:lef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开户银行：</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开户银行：</w:t>
      </w:r>
      <w:r>
        <w:rPr>
          <w:rFonts w:hint="eastAsia" w:ascii="仿宋" w:hAnsi="仿宋" w:eastAsia="仿宋" w:cs="仿宋"/>
          <w:b w:val="0"/>
          <w:bCs w:val="0"/>
          <w:color w:val="auto"/>
          <w:kern w:val="0"/>
          <w:sz w:val="24"/>
          <w:szCs w:val="24"/>
          <w:highlight w:val="none"/>
          <w:lang w:val="en-US" w:eastAsia="zh-CN"/>
        </w:rPr>
        <w:t xml:space="preserve"> </w:t>
      </w:r>
    </w:p>
    <w:p w14:paraId="4DDA494E">
      <w:pPr>
        <w:spacing w:line="440" w:lineRule="exact"/>
        <w:ind w:left="0" w:leftChars="0" w:firstLine="0" w:firstLineChars="0"/>
        <w:jc w:val="left"/>
        <w:rPr>
          <w:rFonts w:hint="eastAsia" w:ascii="仿宋" w:hAnsi="仿宋" w:eastAsia="仿宋" w:cs="仿宋"/>
          <w:color w:val="auto"/>
          <w:kern w:val="0"/>
          <w:sz w:val="24"/>
          <w:szCs w:val="24"/>
          <w:highlight w:val="none"/>
        </w:rPr>
      </w:pPr>
    </w:p>
    <w:p w14:paraId="4702D8CF">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银行账号：</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银行账号：</w:t>
      </w:r>
    </w:p>
    <w:p w14:paraId="211DAA58">
      <w:pPr>
        <w:spacing w:line="440" w:lineRule="exact"/>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纳税人识别号：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纳税人识别号：              </w:t>
      </w:r>
    </w:p>
    <w:p w14:paraId="2CD3872D">
      <w:pPr>
        <w:spacing w:line="440" w:lineRule="exact"/>
        <w:ind w:firstLine="480" w:firstLineChars="200"/>
        <w:jc w:val="left"/>
        <w:rPr>
          <w:rFonts w:hint="eastAsia" w:ascii="仿宋" w:hAnsi="仿宋" w:eastAsia="仿宋" w:cs="仿宋"/>
          <w:color w:val="auto"/>
          <w:kern w:val="0"/>
          <w:sz w:val="24"/>
          <w:szCs w:val="24"/>
          <w:highlight w:val="none"/>
        </w:rPr>
      </w:pPr>
    </w:p>
    <w:p w14:paraId="37769101">
      <w:pPr>
        <w:spacing w:line="440" w:lineRule="exact"/>
        <w:ind w:firstLine="480" w:firstLineChars="200"/>
        <w:jc w:val="left"/>
        <w:rPr>
          <w:rFonts w:hint="eastAsia" w:ascii="仿宋" w:hAnsi="仿宋" w:eastAsia="仿宋" w:cs="仿宋"/>
          <w:color w:val="auto"/>
          <w:kern w:val="0"/>
          <w:sz w:val="24"/>
          <w:szCs w:val="24"/>
          <w:highlight w:val="none"/>
        </w:rPr>
      </w:pPr>
    </w:p>
    <w:p w14:paraId="70715B84">
      <w:pPr>
        <w:spacing w:line="360" w:lineRule="auto"/>
        <w:ind w:firstLine="480" w:firstLineChars="20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合同签订地：河南省</w:t>
      </w:r>
      <w:r>
        <w:rPr>
          <w:rFonts w:hint="eastAsia" w:ascii="仿宋" w:hAnsi="仿宋" w:eastAsia="仿宋" w:cs="仿宋"/>
          <w:color w:val="auto"/>
          <w:kern w:val="0"/>
          <w:sz w:val="24"/>
          <w:szCs w:val="24"/>
          <w:highlight w:val="none"/>
          <w:lang w:val="en-US" w:eastAsia="zh-CN"/>
        </w:rPr>
        <w:t>嵩县农业农村局</w:t>
      </w:r>
    </w:p>
    <w:p w14:paraId="75874C66">
      <w:pPr>
        <w:spacing w:line="360" w:lineRule="auto"/>
        <w:ind w:firstLine="480" w:firstLineChars="200"/>
        <w:jc w:val="left"/>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4"/>
          <w:highlight w:val="none"/>
        </w:rPr>
        <w:t>合同签订时间：</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年   月   日</w:t>
      </w:r>
    </w:p>
    <w:p w14:paraId="436FEB9B">
      <w:pPr>
        <w:rPr>
          <w:rFonts w:ascii="宋体" w:hAnsi="宋体" w:cs="Times New Roman"/>
          <w:color w:val="auto"/>
          <w:kern w:val="0"/>
          <w:sz w:val="24"/>
          <w:szCs w:val="22"/>
          <w:highlight w:val="none"/>
        </w:rPr>
      </w:pPr>
      <w:r>
        <w:rPr>
          <w:rFonts w:ascii="宋体" w:hAnsi="宋体" w:cs="Times New Roman"/>
          <w:color w:val="auto"/>
          <w:kern w:val="0"/>
          <w:sz w:val="24"/>
          <w:szCs w:val="22"/>
          <w:highlight w:val="none"/>
        </w:rPr>
        <w:br w:type="page"/>
      </w:r>
    </w:p>
    <w:p w14:paraId="42F1A100">
      <w:pPr>
        <w:pStyle w:val="2"/>
        <w:jc w:val="center"/>
        <w:rPr>
          <w:rFonts w:hint="eastAsia" w:ascii="仿宋" w:hAnsi="仿宋" w:eastAsia="仿宋" w:cs="仿宋"/>
          <w:color w:val="auto"/>
          <w:sz w:val="32"/>
          <w:szCs w:val="32"/>
          <w:highlight w:val="none"/>
        </w:rPr>
      </w:pPr>
      <w:bookmarkStart w:id="505" w:name="_Toc27905"/>
      <w:r>
        <w:rPr>
          <w:rFonts w:hint="eastAsia" w:ascii="仿宋" w:hAnsi="仿宋" w:eastAsia="仿宋" w:cs="仿宋"/>
          <w:color w:val="auto"/>
          <w:sz w:val="32"/>
          <w:szCs w:val="32"/>
          <w:highlight w:val="none"/>
        </w:rPr>
        <w:t>第五章</w:t>
      </w:r>
      <w:bookmarkEnd w:id="499"/>
      <w:bookmarkEnd w:id="500"/>
      <w:bookmarkEnd w:id="501"/>
      <w:bookmarkStart w:id="506" w:name="_Toc2337"/>
      <w:bookmarkStart w:id="507" w:name="_Toc31104"/>
      <w:bookmarkStart w:id="508" w:name="_Toc31263"/>
      <w:bookmarkStart w:id="509" w:name="_Toc12298"/>
      <w:r>
        <w:rPr>
          <w:rFonts w:hint="eastAsia" w:ascii="仿宋" w:hAnsi="仿宋" w:eastAsia="仿宋" w:cs="仿宋"/>
          <w:color w:val="auto"/>
          <w:sz w:val="32"/>
          <w:szCs w:val="32"/>
          <w:highlight w:val="none"/>
        </w:rPr>
        <w:t xml:space="preserve"> 图纸</w:t>
      </w:r>
      <w:bookmarkEnd w:id="502"/>
      <w:bookmarkEnd w:id="505"/>
      <w:bookmarkEnd w:id="506"/>
      <w:bookmarkEnd w:id="507"/>
      <w:bookmarkEnd w:id="508"/>
      <w:bookmarkEnd w:id="509"/>
    </w:p>
    <w:p w14:paraId="308DC99D">
      <w:pPr>
        <w:spacing w:line="360" w:lineRule="auto"/>
        <w:ind w:firstLine="480" w:firstLineChars="200"/>
        <w:rPr>
          <w:rFonts w:ascii="仿宋" w:hAnsi="仿宋" w:eastAsia="仿宋" w:cs="仿宋"/>
          <w:color w:val="auto"/>
          <w:sz w:val="24"/>
          <w:highlight w:val="none"/>
        </w:rPr>
      </w:pPr>
      <w:bookmarkStart w:id="510" w:name="_Toc152045785"/>
      <w:bookmarkStart w:id="511" w:name="_Toc152042574"/>
      <w:bookmarkStart w:id="512" w:name="_Toc144974854"/>
      <w:r>
        <w:rPr>
          <w:rFonts w:hint="eastAsia" w:ascii="仿宋" w:hAnsi="仿宋" w:eastAsia="仿宋" w:cs="仿宋"/>
          <w:color w:val="auto"/>
          <w:sz w:val="24"/>
          <w:highlight w:val="none"/>
        </w:rPr>
        <w:t>本项目图纸为电子版，投标单位登录洛阳市公共资源交易网-洛阳市电子招投标交易平台入口在线下载电子版图纸。</w:t>
      </w:r>
    </w:p>
    <w:p w14:paraId="3422BB2E">
      <w:pPr>
        <w:pStyle w:val="2"/>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bookmarkStart w:id="513" w:name="_Toc12833"/>
      <w:bookmarkStart w:id="514" w:name="_Toc29732"/>
      <w:r>
        <w:rPr>
          <w:rFonts w:hint="eastAsia" w:ascii="仿宋" w:hAnsi="仿宋" w:eastAsia="仿宋" w:cs="仿宋"/>
          <w:color w:val="auto"/>
          <w:sz w:val="32"/>
          <w:szCs w:val="32"/>
          <w:highlight w:val="none"/>
        </w:rPr>
        <w:t>第六章 技术标准和规范</w:t>
      </w:r>
      <w:bookmarkEnd w:id="513"/>
      <w:bookmarkEnd w:id="514"/>
    </w:p>
    <w:p w14:paraId="090DF34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（本工程所采用的材料、设备和施工工艺，在实施过程中均应符合或遵循国家或行业的技术规范和标准。所采用的规范或标准如出现不一致时，以标准高的为准。）</w:t>
      </w:r>
    </w:p>
    <w:p w14:paraId="7A338508">
      <w:pPr>
        <w:pStyle w:val="52"/>
        <w:spacing w:line="360" w:lineRule="auto"/>
        <w:rPr>
          <w:rFonts w:hint="eastAsia" w:ascii="仿宋" w:hAnsi="仿宋" w:eastAsia="仿宋" w:cs="仿宋"/>
          <w:b/>
          <w:color w:val="auto"/>
          <w:szCs w:val="24"/>
          <w:highlight w:val="none"/>
        </w:rPr>
      </w:pPr>
      <w:bookmarkStart w:id="515" w:name="_Toc30711"/>
      <w:bookmarkStart w:id="516" w:name="_Toc25147"/>
      <w:bookmarkStart w:id="517" w:name="_Toc24934"/>
      <w:r>
        <w:rPr>
          <w:rFonts w:hint="eastAsia" w:ascii="仿宋" w:hAnsi="仿宋" w:eastAsia="仿宋" w:cs="仿宋"/>
          <w:b/>
          <w:color w:val="auto"/>
          <w:szCs w:val="24"/>
          <w:highlight w:val="none"/>
        </w:rPr>
        <w:t>一、工程概况</w:t>
      </w:r>
      <w:bookmarkEnd w:id="515"/>
      <w:bookmarkEnd w:id="516"/>
      <w:bookmarkEnd w:id="517"/>
    </w:p>
    <w:p w14:paraId="6B673E26">
      <w:pPr>
        <w:spacing w:line="360" w:lineRule="auto"/>
        <w:ind w:firstLine="480" w:firstLineChars="200"/>
        <w:rPr>
          <w:rFonts w:hint="eastAsia" w:ascii="仿宋" w:hAnsi="仿宋" w:eastAsia="仿宋" w:cs="仿宋"/>
          <w:color w:val="auto"/>
          <w:sz w:val="24"/>
          <w:highlight w:val="none"/>
          <w:lang w:val="en-US" w:eastAsia="zh-CN"/>
        </w:rPr>
      </w:pPr>
      <w:bookmarkStart w:id="518" w:name="_Toc20904"/>
      <w:bookmarkStart w:id="519" w:name="_Toc2693"/>
      <w:r>
        <w:rPr>
          <w:rFonts w:hint="eastAsia" w:ascii="仿宋" w:hAnsi="仿宋" w:eastAsia="仿宋" w:cs="仿宋"/>
          <w:color w:val="auto"/>
          <w:sz w:val="24"/>
          <w:highlight w:val="none"/>
          <w:lang w:val="en-US" w:eastAsia="zh-CN"/>
        </w:rPr>
        <w:t>嵩县农业农村局2025年嵩县大坪乡0.5万亩高标准农田建设项目位于河南省洛阳市嵩县，主要内容为新建高标准农田0.5万亩，主要工程为田块整治工程、灌溉与排水工程、田间道路工程和其他配套工程等。</w:t>
      </w:r>
    </w:p>
    <w:p w14:paraId="7CABA917">
      <w:pPr>
        <w:pStyle w:val="52"/>
        <w:spacing w:line="360" w:lineRule="auto"/>
        <w:rPr>
          <w:rFonts w:hint="eastAsia" w:ascii="仿宋" w:hAnsi="仿宋" w:eastAsia="仿宋" w:cs="仿宋"/>
          <w:b/>
          <w:color w:val="auto"/>
          <w:sz w:val="24"/>
          <w:szCs w:val="24"/>
          <w:highlight w:val="none"/>
        </w:rPr>
      </w:pPr>
      <w:bookmarkStart w:id="520" w:name="_Toc29538"/>
      <w:r>
        <w:rPr>
          <w:rFonts w:hint="eastAsia" w:ascii="仿宋" w:hAnsi="仿宋" w:eastAsia="仿宋" w:cs="仿宋"/>
          <w:b/>
          <w:color w:val="auto"/>
          <w:szCs w:val="24"/>
          <w:highlight w:val="none"/>
          <w:lang w:val="en-US" w:eastAsia="zh-CN"/>
        </w:rPr>
        <w:t>二</w:t>
      </w:r>
      <w:bookmarkEnd w:id="510"/>
      <w:bookmarkEnd w:id="511"/>
      <w:bookmarkEnd w:id="512"/>
      <w:bookmarkEnd w:id="518"/>
      <w:bookmarkStart w:id="521" w:name="_Toc144974855"/>
      <w:bookmarkStart w:id="522" w:name="_Toc152045786"/>
      <w:bookmarkStart w:id="523" w:name="_Toc152042575"/>
      <w:r>
        <w:rPr>
          <w:rFonts w:hint="eastAsia" w:ascii="仿宋" w:hAnsi="仿宋" w:eastAsia="仿宋" w:cs="仿宋"/>
          <w:b/>
          <w:color w:val="auto"/>
          <w:sz w:val="24"/>
          <w:szCs w:val="24"/>
          <w:highlight w:val="none"/>
        </w:rPr>
        <w:t>、技术要求及其他</w:t>
      </w:r>
      <w:bookmarkEnd w:id="519"/>
      <w:bookmarkEnd w:id="520"/>
    </w:p>
    <w:p w14:paraId="768DE67A">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1.本工程施工范围内所有建筑物或构筑物都是新建建筑（含部分需要拆除的原</w:t>
      </w:r>
      <w:r>
        <w:rPr>
          <w:rFonts w:hint="eastAsia" w:ascii="仿宋" w:hAnsi="仿宋" w:eastAsia="仿宋" w:cs="仿宋"/>
          <w:color w:val="auto"/>
          <w:sz w:val="24"/>
          <w:szCs w:val="20"/>
          <w:highlight w:val="none"/>
          <w:lang w:val="en-US" w:eastAsia="zh-CN"/>
        </w:rPr>
        <w:t>有</w:t>
      </w:r>
      <w:r>
        <w:rPr>
          <w:rFonts w:hint="eastAsia" w:ascii="仿宋" w:hAnsi="仿宋" w:eastAsia="仿宋" w:cs="仿宋"/>
          <w:color w:val="auto"/>
          <w:sz w:val="24"/>
          <w:szCs w:val="20"/>
          <w:highlight w:val="none"/>
        </w:rPr>
        <w:t>构筑物、设备等），施工单位可根据需要自行到现场实地勘察，综合考虑施工难度、施工作业环境、施工对业主正常生产经营活动影响（不能影响业主单位正常生产经营活动）等因素，制定完整的施工组织设计和专项施工方案，勘察费用由投标人自己承担。</w:t>
      </w:r>
    </w:p>
    <w:p w14:paraId="6F061BB5">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本工程较为复杂，为保证后续施工作业顺利开展，应编制切实可行的施工组织设计，熟悉图纸并严格按照图纸进行施工，同时为规范工程管理，工程内业资料要与施工进度、工程付款情况等同步进行，杜绝事后补交工程资料。</w:t>
      </w:r>
    </w:p>
    <w:p w14:paraId="6A061BC6">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.各投标单位要依据招标文件约定工期，编制合理且有可操作性的工程网络计划图，有计划开展施工作业，保证工期不滞后。</w:t>
      </w:r>
    </w:p>
    <w:p w14:paraId="1A9290BE">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4</w:t>
      </w:r>
      <w:r>
        <w:rPr>
          <w:rFonts w:hint="eastAsia" w:ascii="仿宋" w:hAnsi="仿宋" w:eastAsia="仿宋" w:cs="仿宋"/>
          <w:color w:val="auto"/>
          <w:sz w:val="24"/>
          <w:szCs w:val="20"/>
          <w:highlight w:val="none"/>
        </w:rPr>
        <w:t>.为保证工程质量，所有由中标单位购买的用于本工程的建筑材料，均应满足设计、施工相关规范要求，材料进场后先上报业主单位委托的监理单位进行初步验收，初验合格后按国家、行业要求在“三方”（业主单位、监理单位和施工单位）见证下进行原材料取样和送检（检测机构需具备CMA认证，且检测费用由投标人承担）（本项目一切实验和检验费用均包含在投标报价中），待第三方机构出具合格复试报告后，方可使用于本工程。不合格材料应在业主单位和监理单位要求时间范围内清退出场，由此产生的损失由中标单位自己承担，并应根据合同要求，由中标单位支付业主单位相应的合同违约金。</w:t>
      </w:r>
    </w:p>
    <w:p w14:paraId="1011CA69">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5</w:t>
      </w:r>
      <w:r>
        <w:rPr>
          <w:rFonts w:hint="eastAsia" w:ascii="仿宋" w:hAnsi="仿宋" w:eastAsia="仿宋" w:cs="仿宋"/>
          <w:color w:val="auto"/>
          <w:sz w:val="24"/>
          <w:szCs w:val="20"/>
          <w:highlight w:val="none"/>
        </w:rPr>
        <w:t>.中标单位要与业主单位签订安全生产管理协议，明确双方的安全责任和义务，要根据相关法律法规要求做好施工人员和管理人员保险参保情况，施工进场前要将保单参保情况上报给业主单位进行备案；招标单位项目负责人要根据自己制定的施工组织计划和网络计划，提前做好人员计划，凡要进入现场的施工人员，必须接受必要的安全、文明教育培训和安全技术交底工作，同时中标单位应服从业主单位相关安全管理制度要求。</w:t>
      </w:r>
    </w:p>
    <w:p w14:paraId="263E30E4">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6</w:t>
      </w:r>
      <w:r>
        <w:rPr>
          <w:rFonts w:hint="eastAsia" w:ascii="仿宋" w:hAnsi="仿宋" w:eastAsia="仿宋" w:cs="仿宋"/>
          <w:color w:val="auto"/>
          <w:sz w:val="24"/>
          <w:szCs w:val="20"/>
          <w:highlight w:val="none"/>
        </w:rPr>
        <w:t>.各投标单位要对施工期间用电总功率及用水量情况在投标时给予明确说明，方便业主单位提前综合考虑和调配。现场用电，必须要有专人管理，同时设专用配电箱，严禁乱接乱拉，采取用电挂牌制度，振动器必须有漏电保护装置，杜绝违章作业，防止人身、线路，设备事故的发生。</w:t>
      </w:r>
    </w:p>
    <w:p w14:paraId="13D9AC8B">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7</w:t>
      </w:r>
      <w:r>
        <w:rPr>
          <w:rFonts w:hint="eastAsia" w:ascii="仿宋" w:hAnsi="仿宋" w:eastAsia="仿宋" w:cs="仿宋"/>
          <w:color w:val="auto"/>
          <w:sz w:val="24"/>
          <w:szCs w:val="20"/>
          <w:highlight w:val="none"/>
        </w:rPr>
        <w:t>.</w:t>
      </w:r>
      <w:r>
        <w:rPr>
          <w:rFonts w:hint="eastAsia" w:ascii="仿宋" w:hAnsi="仿宋" w:eastAsia="仿宋" w:cs="仿宋"/>
          <w:color w:val="auto"/>
          <w:sz w:val="24"/>
          <w:szCs w:val="20"/>
          <w:highlight w:val="none"/>
          <w:lang w:val="en-US" w:eastAsia="zh-CN"/>
        </w:rPr>
        <w:t>如</w:t>
      </w:r>
      <w:r>
        <w:rPr>
          <w:rFonts w:hint="eastAsia" w:ascii="仿宋" w:hAnsi="仿宋" w:eastAsia="仿宋" w:cs="仿宋"/>
          <w:color w:val="auto"/>
          <w:sz w:val="24"/>
          <w:szCs w:val="20"/>
          <w:highlight w:val="none"/>
        </w:rPr>
        <w:t>涉及高空、电焊气割、吊装等特种作业人员须持证上岗，相关证件复印件要报送业主单位备案，同时作业人员须正确佩戴合格的劳动防护用品。</w:t>
      </w:r>
    </w:p>
    <w:p w14:paraId="1FE091EA">
      <w:pPr>
        <w:spacing w:line="360" w:lineRule="auto"/>
        <w:ind w:firstLine="48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8</w:t>
      </w:r>
      <w:r>
        <w:rPr>
          <w:rFonts w:hint="eastAsia" w:ascii="仿宋" w:hAnsi="仿宋" w:eastAsia="仿宋" w:cs="仿宋"/>
          <w:color w:val="auto"/>
          <w:sz w:val="24"/>
          <w:szCs w:val="20"/>
          <w:highlight w:val="none"/>
        </w:rPr>
        <w:t>.中标单位应建设规范的项目部，用于日常办公使用，也可对业主单位提供的旧房进行改造使用（使用结束后归业主单位所有），同时项目部要按相关要求配备项目部人员，尤其是项目经理、技术负责人、安全负责人、安全员、质量员、材料员、施工员、资料员</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造价人员</w:t>
      </w:r>
      <w:r>
        <w:rPr>
          <w:rFonts w:hint="eastAsia" w:ascii="仿宋" w:hAnsi="仿宋" w:eastAsia="仿宋" w:cs="仿宋"/>
          <w:color w:val="auto"/>
          <w:sz w:val="24"/>
          <w:szCs w:val="20"/>
          <w:highlight w:val="none"/>
        </w:rPr>
        <w:t>主要人员</w:t>
      </w:r>
      <w:r>
        <w:rPr>
          <w:rFonts w:hint="eastAsia" w:ascii="仿宋" w:hAnsi="仿宋" w:eastAsia="仿宋" w:cs="仿宋"/>
          <w:color w:val="auto"/>
          <w:sz w:val="24"/>
          <w:szCs w:val="20"/>
          <w:highlight w:val="none"/>
          <w:lang w:val="en-US" w:eastAsia="zh-CN"/>
        </w:rPr>
        <w:t>等</w:t>
      </w:r>
      <w:r>
        <w:rPr>
          <w:rFonts w:hint="eastAsia" w:ascii="仿宋" w:hAnsi="仿宋" w:eastAsia="仿宋" w:cs="仿宋"/>
          <w:color w:val="auto"/>
          <w:sz w:val="24"/>
          <w:szCs w:val="20"/>
          <w:highlight w:val="none"/>
        </w:rPr>
        <w:t>必须配备齐全并要在施工现场办公，项目部人员须与投标文件中保持一致。</w:t>
      </w:r>
    </w:p>
    <w:p w14:paraId="670B2654">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9</w:t>
      </w:r>
      <w:r>
        <w:rPr>
          <w:rFonts w:hint="eastAsia" w:ascii="仿宋" w:hAnsi="仿宋" w:eastAsia="仿宋" w:cs="仿宋"/>
          <w:color w:val="auto"/>
          <w:sz w:val="24"/>
          <w:szCs w:val="20"/>
          <w:highlight w:val="none"/>
        </w:rPr>
        <w:t>.材料、设备、机械等堆（停）放合理，各种物资标识清楚，排放有序，并符合安全防火标准。进入作业现场的材料（包括周转性材料）、设备、机械、施工器材及临时设施与作业需求和文明施工管理的要求相适应，控制进入的顺序、时间、数量，保持通道的畅通，施工完毕后及时撤出。各作业面都应做到“工完、料尽、场地清”。剩余材料要堆放整齐、可靠，废料及时清理干净。</w:t>
      </w:r>
    </w:p>
    <w:p w14:paraId="41D33BBB">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w:t>
      </w:r>
      <w:r>
        <w:rPr>
          <w:rFonts w:hint="eastAsia" w:ascii="仿宋" w:hAnsi="仿宋" w:eastAsia="仿宋" w:cs="仿宋"/>
          <w:color w:val="auto"/>
          <w:sz w:val="24"/>
          <w:szCs w:val="20"/>
          <w:highlight w:val="none"/>
          <w:lang w:val="en-US" w:eastAsia="zh-CN"/>
        </w:rPr>
        <w:t>0</w:t>
      </w:r>
      <w:r>
        <w:rPr>
          <w:rFonts w:hint="eastAsia" w:ascii="仿宋" w:hAnsi="仿宋" w:eastAsia="仿宋" w:cs="仿宋"/>
          <w:color w:val="auto"/>
          <w:sz w:val="24"/>
          <w:szCs w:val="20"/>
          <w:highlight w:val="none"/>
        </w:rPr>
        <w:t>.工程竣工验收前，中标单位应做好成品养护和保护，因成品损坏和损坏修复产生的费用由中标单位自己承担，结算时业主单位不再承担任何费用。</w:t>
      </w:r>
    </w:p>
    <w:p w14:paraId="40D7058E">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w:t>
      </w:r>
      <w:r>
        <w:rPr>
          <w:rFonts w:hint="eastAsia" w:ascii="仿宋" w:hAnsi="仿宋" w:eastAsia="仿宋" w:cs="仿宋"/>
          <w:color w:val="auto"/>
          <w:sz w:val="24"/>
          <w:szCs w:val="20"/>
          <w:highlight w:val="none"/>
          <w:lang w:val="en-US" w:eastAsia="zh-CN"/>
        </w:rPr>
        <w:t>2</w:t>
      </w:r>
      <w:r>
        <w:rPr>
          <w:rFonts w:hint="eastAsia" w:ascii="仿宋" w:hAnsi="仿宋" w:eastAsia="仿宋" w:cs="仿宋"/>
          <w:color w:val="auto"/>
          <w:sz w:val="24"/>
          <w:szCs w:val="20"/>
          <w:highlight w:val="none"/>
        </w:rPr>
        <w:t>.本工程缺陷责任期为</w:t>
      </w:r>
      <w:r>
        <w:rPr>
          <w:rFonts w:hint="eastAsia" w:ascii="仿宋" w:hAnsi="仿宋" w:eastAsia="仿宋" w:cs="仿宋"/>
          <w:color w:val="auto"/>
          <w:sz w:val="24"/>
          <w:szCs w:val="20"/>
          <w:highlight w:val="none"/>
          <w:lang w:val="en-US" w:eastAsia="zh-CN"/>
        </w:rPr>
        <w:t>24个月</w:t>
      </w:r>
      <w:r>
        <w:rPr>
          <w:rFonts w:hint="eastAsia" w:ascii="仿宋" w:hAnsi="仿宋" w:eastAsia="仿宋" w:cs="仿宋"/>
          <w:color w:val="auto"/>
          <w:sz w:val="24"/>
          <w:szCs w:val="20"/>
          <w:highlight w:val="none"/>
        </w:rPr>
        <w:t>，缺陷责任期内因施工质量问题需要维修的，由中标单位负责处理。超出缺陷责任期后，中标单位应根据相关法律法规规定的工程质保期限对工程质量进行质保。</w:t>
      </w:r>
    </w:p>
    <w:p w14:paraId="7547020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w:t>
      </w: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.未尽事宜应严格按照中华人民共和国国家现行有关施工及验收规范执行。</w:t>
      </w:r>
    </w:p>
    <w:p w14:paraId="0B1A14B0">
      <w:pPr>
        <w:pStyle w:val="52"/>
        <w:rPr>
          <w:rFonts w:hint="eastAsia" w:ascii="仿宋" w:hAnsi="仿宋" w:eastAsia="仿宋" w:cs="仿宋"/>
          <w:b/>
          <w:color w:val="auto"/>
          <w:sz w:val="24"/>
          <w:szCs w:val="24"/>
          <w:highlight w:val="none"/>
          <w:lang w:val="en-US" w:eastAsia="zh-CN"/>
        </w:rPr>
      </w:pPr>
      <w:bookmarkStart w:id="524" w:name="_Toc15315"/>
      <w:bookmarkStart w:id="525" w:name="_Toc24073"/>
      <w:r>
        <w:rPr>
          <w:rFonts w:hint="eastAsia" w:ascii="仿宋" w:hAnsi="仿宋" w:eastAsia="仿宋" w:cs="仿宋"/>
          <w:b/>
          <w:color w:val="auto"/>
          <w:sz w:val="24"/>
          <w:szCs w:val="24"/>
          <w:highlight w:val="none"/>
          <w:lang w:val="en-US" w:eastAsia="zh-CN"/>
        </w:rPr>
        <w:t>三、工程量清单</w:t>
      </w:r>
      <w:bookmarkEnd w:id="524"/>
      <w:bookmarkEnd w:id="525"/>
    </w:p>
    <w:p w14:paraId="17284097">
      <w:pPr>
        <w:topLinePunct/>
        <w:ind w:firstLine="480" w:firstLineChars="200"/>
        <w:rPr>
          <w:rFonts w:hint="eastAsia" w:ascii="仿宋" w:hAnsi="仿宋" w:eastAsia="仿宋" w:cs="仿宋"/>
          <w:b w:val="0"/>
          <w:color w:val="auto"/>
          <w:sz w:val="24"/>
          <w:szCs w:val="20"/>
          <w:highlight w:val="none"/>
          <w:lang w:val="en-US" w:eastAsia="zh-CN"/>
        </w:rPr>
      </w:pPr>
      <w:r>
        <w:rPr>
          <w:rFonts w:hint="eastAsia" w:ascii="仿宋" w:hAnsi="仿宋" w:eastAsia="仿宋" w:cs="仿宋"/>
          <w:b w:val="0"/>
          <w:color w:val="auto"/>
          <w:sz w:val="24"/>
          <w:szCs w:val="20"/>
          <w:highlight w:val="none"/>
          <w:lang w:val="en-US" w:eastAsia="zh-CN"/>
        </w:rPr>
        <w:t>本项目工程量清单为电子版，投标单位登录洛阳市公共资源交易网-洛阳市电子招投标交易平台入口在线下载电子版工程量清单。</w:t>
      </w:r>
    </w:p>
    <w:p w14:paraId="025B9D99">
      <w:pPr>
        <w:pStyle w:val="52"/>
        <w:numPr>
          <w:ilvl w:val="0"/>
          <w:numId w:val="0"/>
        </w:numPr>
        <w:ind w:left="210" w:leftChars="0"/>
        <w:rPr>
          <w:rFonts w:hint="eastAsia" w:ascii="仿宋" w:hAnsi="仿宋" w:eastAsia="仿宋" w:cs="仿宋"/>
          <w:b/>
          <w:color w:val="auto"/>
          <w:sz w:val="24"/>
          <w:szCs w:val="24"/>
          <w:highlight w:val="none"/>
          <w:lang w:val="en-US" w:eastAsia="zh-CN"/>
        </w:rPr>
      </w:pPr>
      <w:bookmarkStart w:id="526" w:name="_Toc1085"/>
      <w:bookmarkStart w:id="527" w:name="_Toc25866"/>
      <w:r>
        <w:rPr>
          <w:rFonts w:hint="eastAsia" w:ascii="仿宋" w:hAnsi="仿宋" w:eastAsia="仿宋" w:cs="仿宋"/>
          <w:b/>
          <w:color w:val="auto"/>
          <w:sz w:val="24"/>
          <w:szCs w:val="24"/>
          <w:highlight w:val="none"/>
          <w:lang w:val="en-US" w:eastAsia="zh-CN"/>
        </w:rPr>
        <w:t>四、危险性较大的分部分项工程范围</w:t>
      </w:r>
      <w:bookmarkEnd w:id="526"/>
      <w:bookmarkEnd w:id="527"/>
    </w:p>
    <w:p w14:paraId="73D15EBC">
      <w:pPr>
        <w:topLinePunct/>
        <w:spacing w:line="360" w:lineRule="auto"/>
        <w:ind w:firstLine="480" w:firstLineChars="200"/>
        <w:rPr>
          <w:rFonts w:hint="eastAsia" w:ascii="仿宋" w:hAnsi="仿宋" w:eastAsia="仿宋" w:cs="仿宋"/>
          <w:color w:val="auto"/>
          <w:sz w:val="24"/>
          <w:szCs w:val="20"/>
          <w:highlight w:val="none"/>
          <w:lang w:val="en-US" w:eastAsia="zh-CN"/>
        </w:rPr>
      </w:pPr>
    </w:p>
    <w:tbl>
      <w:tblPr>
        <w:tblStyle w:val="26"/>
        <w:tblW w:w="8879" w:type="dxa"/>
        <w:tblInd w:w="39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1777"/>
        <w:gridCol w:w="6215"/>
      </w:tblGrid>
      <w:tr w14:paraId="76727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trPr>
        <w:tc>
          <w:tcPr>
            <w:tcW w:w="887" w:type="dxa"/>
            <w:noWrap w:val="0"/>
            <w:vAlign w:val="center"/>
          </w:tcPr>
          <w:p w14:paraId="1AAAD11F">
            <w:pPr>
              <w:topLinePunct/>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序号</w:t>
            </w:r>
          </w:p>
        </w:tc>
        <w:tc>
          <w:tcPr>
            <w:tcW w:w="1777" w:type="dxa"/>
            <w:noWrap w:val="0"/>
            <w:vAlign w:val="center"/>
          </w:tcPr>
          <w:p w14:paraId="5C1749C9">
            <w:pPr>
              <w:topLinePunct/>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类别</w:t>
            </w:r>
          </w:p>
        </w:tc>
        <w:tc>
          <w:tcPr>
            <w:tcW w:w="6215" w:type="dxa"/>
            <w:noWrap w:val="0"/>
            <w:vAlign w:val="center"/>
          </w:tcPr>
          <w:p w14:paraId="79E2BC9F">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需编制专项施工方案</w:t>
            </w:r>
          </w:p>
        </w:tc>
      </w:tr>
      <w:tr w14:paraId="1ADD1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8" w:hRule="atLeast"/>
        </w:trPr>
        <w:tc>
          <w:tcPr>
            <w:tcW w:w="887" w:type="dxa"/>
            <w:vMerge w:val="restart"/>
            <w:noWrap w:val="0"/>
            <w:vAlign w:val="center"/>
          </w:tcPr>
          <w:p w14:paraId="6EC1D11E">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w:t>
            </w:r>
          </w:p>
        </w:tc>
        <w:tc>
          <w:tcPr>
            <w:tcW w:w="1777" w:type="dxa"/>
            <w:vMerge w:val="restart"/>
            <w:noWrap w:val="0"/>
            <w:vAlign w:val="center"/>
          </w:tcPr>
          <w:p w14:paraId="68333E5D">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基坑</w:t>
            </w:r>
          </w:p>
          <w:p w14:paraId="3138AA5C">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工程</w:t>
            </w:r>
          </w:p>
        </w:tc>
        <w:tc>
          <w:tcPr>
            <w:tcW w:w="6215" w:type="dxa"/>
            <w:noWrap w:val="0"/>
            <w:vAlign w:val="top"/>
          </w:tcPr>
          <w:p w14:paraId="476C6A7A">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（一）开挖深度超过3m（含3m）的基坑（槽）的土方开挖、支护、降水工程。</w:t>
            </w:r>
          </w:p>
        </w:tc>
      </w:tr>
      <w:tr w14:paraId="3CFE7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8" w:hRule="atLeast"/>
        </w:trPr>
        <w:tc>
          <w:tcPr>
            <w:tcW w:w="887" w:type="dxa"/>
            <w:vMerge w:val="continue"/>
            <w:noWrap w:val="0"/>
            <w:vAlign w:val="center"/>
          </w:tcPr>
          <w:p w14:paraId="5AE42DB1">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01D901CC">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0D27818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（二）开挖深度虽未超过3m，但地质条件、周围环境和地下管线复杂，或影响毗邻建、构筑物安全的基坑（槽）的土方开挖、支护、降水工程。</w:t>
            </w:r>
          </w:p>
        </w:tc>
      </w:tr>
      <w:tr w14:paraId="21029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4" w:hRule="atLeast"/>
        </w:trPr>
        <w:tc>
          <w:tcPr>
            <w:tcW w:w="887" w:type="dxa"/>
            <w:vMerge w:val="restart"/>
            <w:noWrap w:val="0"/>
            <w:vAlign w:val="center"/>
          </w:tcPr>
          <w:p w14:paraId="342F098A">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w:t>
            </w:r>
          </w:p>
        </w:tc>
        <w:tc>
          <w:tcPr>
            <w:tcW w:w="1777" w:type="dxa"/>
            <w:vMerge w:val="restart"/>
            <w:noWrap w:val="0"/>
            <w:vAlign w:val="center"/>
          </w:tcPr>
          <w:p w14:paraId="7E94A6C7">
            <w:pPr>
              <w:topLinePunct/>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模板工程及支撑体系</w:t>
            </w:r>
          </w:p>
        </w:tc>
        <w:tc>
          <w:tcPr>
            <w:tcW w:w="6215" w:type="dxa"/>
            <w:noWrap w:val="0"/>
            <w:vAlign w:val="top"/>
          </w:tcPr>
          <w:p w14:paraId="5647E5BA">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（一）各类工具式模板工程：包括滑模、爬模、飞模、隧道模等工程。　　　　</w:t>
            </w:r>
          </w:p>
        </w:tc>
      </w:tr>
      <w:tr w14:paraId="4589F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8" w:hRule="atLeast"/>
        </w:trPr>
        <w:tc>
          <w:tcPr>
            <w:tcW w:w="887" w:type="dxa"/>
            <w:vMerge w:val="continue"/>
            <w:noWrap w:val="0"/>
            <w:vAlign w:val="center"/>
          </w:tcPr>
          <w:p w14:paraId="15F270D4">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58C51788">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2086C458">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r>
      <w:tr w14:paraId="11427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887" w:type="dxa"/>
            <w:vMerge w:val="continue"/>
            <w:noWrap w:val="0"/>
            <w:vAlign w:val="center"/>
          </w:tcPr>
          <w:p w14:paraId="0A0DCDFC">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1996097C">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0B06940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（三）承重支撑体系：用于钢结构安装等满堂支撑体系。</w:t>
            </w:r>
          </w:p>
        </w:tc>
      </w:tr>
      <w:tr w14:paraId="29C28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2" w:hRule="atLeast"/>
        </w:trPr>
        <w:tc>
          <w:tcPr>
            <w:tcW w:w="887" w:type="dxa"/>
            <w:vMerge w:val="restart"/>
            <w:noWrap w:val="0"/>
            <w:vAlign w:val="center"/>
          </w:tcPr>
          <w:p w14:paraId="738E724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三</w:t>
            </w:r>
          </w:p>
        </w:tc>
        <w:tc>
          <w:tcPr>
            <w:tcW w:w="1777" w:type="dxa"/>
            <w:vMerge w:val="restart"/>
            <w:noWrap w:val="0"/>
            <w:vAlign w:val="center"/>
          </w:tcPr>
          <w:p w14:paraId="238A40AA">
            <w:pPr>
              <w:topLinePunct/>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起重吊装及起重机械安装拆卸工程</w:t>
            </w:r>
          </w:p>
        </w:tc>
        <w:tc>
          <w:tcPr>
            <w:tcW w:w="6215" w:type="dxa"/>
            <w:noWrap w:val="0"/>
            <w:vAlign w:val="top"/>
          </w:tcPr>
          <w:p w14:paraId="496B5B1B">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（一）采用非常规起重设备、方法，且单件起吊重量在10kN及以上的起重吊装工程。</w:t>
            </w:r>
          </w:p>
        </w:tc>
      </w:tr>
      <w:tr w14:paraId="2E491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887" w:type="dxa"/>
            <w:vMerge w:val="continue"/>
            <w:noWrap w:val="0"/>
            <w:vAlign w:val="center"/>
          </w:tcPr>
          <w:p w14:paraId="10E38785">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02CD6859">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68D58D53">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（二）采用起重机械进行安装的工程。</w:t>
            </w:r>
          </w:p>
        </w:tc>
      </w:tr>
      <w:tr w14:paraId="42308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887" w:type="dxa"/>
            <w:vMerge w:val="continue"/>
            <w:noWrap w:val="0"/>
            <w:vAlign w:val="center"/>
          </w:tcPr>
          <w:p w14:paraId="5C0EAC96">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20557388">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46F938AA">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（三）起重机械安装和拆卸工程。</w:t>
            </w:r>
          </w:p>
        </w:tc>
      </w:tr>
      <w:tr w14:paraId="7EACA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9" w:hRule="atLeast"/>
        </w:trPr>
        <w:tc>
          <w:tcPr>
            <w:tcW w:w="887" w:type="dxa"/>
            <w:vMerge w:val="restart"/>
            <w:noWrap w:val="0"/>
            <w:vAlign w:val="center"/>
          </w:tcPr>
          <w:p w14:paraId="424622B2">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四</w:t>
            </w:r>
          </w:p>
        </w:tc>
        <w:tc>
          <w:tcPr>
            <w:tcW w:w="1777" w:type="dxa"/>
            <w:vMerge w:val="restart"/>
            <w:noWrap w:val="0"/>
            <w:vAlign w:val="center"/>
          </w:tcPr>
          <w:p w14:paraId="3CE2C9A0">
            <w:pPr>
              <w:topLinePunct/>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脚手架工程</w:t>
            </w:r>
          </w:p>
        </w:tc>
        <w:tc>
          <w:tcPr>
            <w:tcW w:w="6215" w:type="dxa"/>
            <w:noWrap w:val="0"/>
            <w:vAlign w:val="top"/>
          </w:tcPr>
          <w:p w14:paraId="34B11CAA">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（一）搭设高度24m及以上的落地式钢管脚手架工程（包括采光井、电梯井脚手架）。</w:t>
            </w:r>
          </w:p>
        </w:tc>
      </w:tr>
      <w:tr w14:paraId="6A0A9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887" w:type="dxa"/>
            <w:vMerge w:val="continue"/>
            <w:noWrap w:val="0"/>
            <w:vAlign w:val="center"/>
          </w:tcPr>
          <w:p w14:paraId="1DB5734E">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53B97DA0">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3F74A2E9">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（二）附着式升降脚手架工程。</w:t>
            </w:r>
          </w:p>
        </w:tc>
      </w:tr>
      <w:tr w14:paraId="56072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887" w:type="dxa"/>
            <w:vMerge w:val="continue"/>
            <w:noWrap w:val="0"/>
            <w:vAlign w:val="center"/>
          </w:tcPr>
          <w:p w14:paraId="2763887F">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48A81B0C">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4D581E0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（三）悬挑式脚手架工程。</w:t>
            </w:r>
          </w:p>
        </w:tc>
      </w:tr>
      <w:tr w14:paraId="293C3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887" w:type="dxa"/>
            <w:vMerge w:val="continue"/>
            <w:noWrap w:val="0"/>
            <w:vAlign w:val="center"/>
          </w:tcPr>
          <w:p w14:paraId="4A7E870A">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78DE9BB5">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6B770AF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（四）高处作业吊篮。</w:t>
            </w:r>
          </w:p>
        </w:tc>
      </w:tr>
      <w:tr w14:paraId="50F3A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887" w:type="dxa"/>
            <w:vMerge w:val="continue"/>
            <w:noWrap w:val="0"/>
            <w:vAlign w:val="center"/>
          </w:tcPr>
          <w:p w14:paraId="743E4B3C">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0A81BB8E">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1482E965">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（五）卸料平台、操作平台工程。</w:t>
            </w:r>
          </w:p>
        </w:tc>
      </w:tr>
      <w:tr w14:paraId="7B203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887" w:type="dxa"/>
            <w:vMerge w:val="continue"/>
            <w:noWrap w:val="0"/>
            <w:vAlign w:val="center"/>
          </w:tcPr>
          <w:p w14:paraId="06EB06F2">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center"/>
          </w:tcPr>
          <w:p w14:paraId="2884960F">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4462629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（六）异型脚手架工程。</w:t>
            </w:r>
          </w:p>
        </w:tc>
      </w:tr>
      <w:tr w14:paraId="260F7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887" w:type="dxa"/>
            <w:noWrap w:val="0"/>
            <w:vAlign w:val="center"/>
          </w:tcPr>
          <w:p w14:paraId="18566DFE">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五</w:t>
            </w:r>
          </w:p>
        </w:tc>
        <w:tc>
          <w:tcPr>
            <w:tcW w:w="1777" w:type="dxa"/>
            <w:noWrap w:val="0"/>
            <w:vAlign w:val="center"/>
          </w:tcPr>
          <w:p w14:paraId="69B063C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拆除</w:t>
            </w:r>
          </w:p>
          <w:p w14:paraId="05DA0333">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工程</w:t>
            </w:r>
          </w:p>
        </w:tc>
        <w:tc>
          <w:tcPr>
            <w:tcW w:w="6215" w:type="dxa"/>
            <w:noWrap w:val="0"/>
            <w:vAlign w:val="top"/>
          </w:tcPr>
          <w:p w14:paraId="2F927E0C">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可能影响行人、交通、电力设施、通讯设施或其它建、构筑物安全的拆除工程。</w:t>
            </w:r>
          </w:p>
        </w:tc>
      </w:tr>
      <w:tr w14:paraId="09E84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87" w:type="dxa"/>
            <w:noWrap w:val="0"/>
            <w:vAlign w:val="center"/>
          </w:tcPr>
          <w:p w14:paraId="7EB4A3E8">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六</w:t>
            </w:r>
          </w:p>
        </w:tc>
        <w:tc>
          <w:tcPr>
            <w:tcW w:w="1777" w:type="dxa"/>
            <w:noWrap w:val="0"/>
            <w:vAlign w:val="center"/>
          </w:tcPr>
          <w:p w14:paraId="790F704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暗挖</w:t>
            </w:r>
          </w:p>
          <w:p w14:paraId="06E92220">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工程</w:t>
            </w:r>
          </w:p>
        </w:tc>
        <w:tc>
          <w:tcPr>
            <w:tcW w:w="6215" w:type="dxa"/>
            <w:noWrap w:val="0"/>
            <w:vAlign w:val="top"/>
          </w:tcPr>
          <w:p w14:paraId="2CC96085">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采用矿山法、盾构法、顶管法施工的隧道、洞室工程。</w:t>
            </w:r>
          </w:p>
        </w:tc>
      </w:tr>
      <w:tr w14:paraId="4BCAB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887" w:type="dxa"/>
            <w:vMerge w:val="restart"/>
            <w:noWrap w:val="0"/>
            <w:vAlign w:val="center"/>
          </w:tcPr>
          <w:p w14:paraId="5B6B286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七</w:t>
            </w:r>
          </w:p>
        </w:tc>
        <w:tc>
          <w:tcPr>
            <w:tcW w:w="1777" w:type="dxa"/>
            <w:vMerge w:val="restart"/>
            <w:noWrap w:val="0"/>
            <w:vAlign w:val="center"/>
          </w:tcPr>
          <w:p w14:paraId="27B1DC47">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其它</w:t>
            </w:r>
          </w:p>
        </w:tc>
        <w:tc>
          <w:tcPr>
            <w:tcW w:w="6215" w:type="dxa"/>
            <w:noWrap w:val="0"/>
            <w:vAlign w:val="top"/>
          </w:tcPr>
          <w:p w14:paraId="7063DA79">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（一）建筑幕墙安装工程。</w:t>
            </w:r>
          </w:p>
        </w:tc>
      </w:tr>
      <w:tr w14:paraId="07B83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887" w:type="dxa"/>
            <w:vMerge w:val="continue"/>
            <w:noWrap w:val="0"/>
            <w:vAlign w:val="top"/>
          </w:tcPr>
          <w:p w14:paraId="5C7E666F">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top"/>
          </w:tcPr>
          <w:p w14:paraId="216ECAAD">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61B21EB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（二）钢结构、网架和索膜结构安装工程。</w:t>
            </w:r>
          </w:p>
        </w:tc>
      </w:tr>
      <w:tr w14:paraId="3EA32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887" w:type="dxa"/>
            <w:vMerge w:val="continue"/>
            <w:noWrap w:val="0"/>
            <w:vAlign w:val="top"/>
          </w:tcPr>
          <w:p w14:paraId="7931B085">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top"/>
          </w:tcPr>
          <w:p w14:paraId="27540701">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7F6F80C6">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（三）人工挖孔桩工程。</w:t>
            </w:r>
          </w:p>
        </w:tc>
      </w:tr>
      <w:tr w14:paraId="3BAD9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887" w:type="dxa"/>
            <w:vMerge w:val="continue"/>
            <w:noWrap w:val="0"/>
            <w:vAlign w:val="top"/>
          </w:tcPr>
          <w:p w14:paraId="1F4260A3">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top"/>
          </w:tcPr>
          <w:p w14:paraId="1C2BD3DD">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2ED589AF">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（四）水下作业工程。</w:t>
            </w:r>
          </w:p>
        </w:tc>
      </w:tr>
      <w:tr w14:paraId="5A3C1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887" w:type="dxa"/>
            <w:vMerge w:val="continue"/>
            <w:noWrap w:val="0"/>
            <w:vAlign w:val="top"/>
          </w:tcPr>
          <w:p w14:paraId="2424E1E6">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top"/>
          </w:tcPr>
          <w:p w14:paraId="7B2B84B9">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588AF299">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（五）装配式建筑混凝土预制构件安装工程。</w:t>
            </w:r>
          </w:p>
        </w:tc>
      </w:tr>
      <w:tr w14:paraId="725F8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8" w:hRule="atLeast"/>
        </w:trPr>
        <w:tc>
          <w:tcPr>
            <w:tcW w:w="887" w:type="dxa"/>
            <w:vMerge w:val="continue"/>
            <w:noWrap w:val="0"/>
            <w:vAlign w:val="top"/>
          </w:tcPr>
          <w:p w14:paraId="33980B1A">
            <w:pPr>
              <w:topLinePunct/>
              <w:spacing w:line="360" w:lineRule="auto"/>
              <w:ind w:firstLine="480" w:firstLineChars="200"/>
              <w:rPr>
                <w:rFonts w:hint="eastAsia" w:ascii="仿宋" w:hAnsi="仿宋" w:eastAsia="仿宋" w:cs="仿宋"/>
                <w:color w:val="auto"/>
                <w:sz w:val="24"/>
                <w:szCs w:val="20"/>
                <w:highlight w:val="none"/>
              </w:rPr>
            </w:pPr>
          </w:p>
        </w:tc>
        <w:tc>
          <w:tcPr>
            <w:tcW w:w="1777" w:type="dxa"/>
            <w:vMerge w:val="continue"/>
            <w:noWrap w:val="0"/>
            <w:vAlign w:val="top"/>
          </w:tcPr>
          <w:p w14:paraId="4C7EDA63">
            <w:pPr>
              <w:topLinePunct/>
              <w:spacing w:line="360" w:lineRule="auto"/>
              <w:ind w:firstLine="480" w:firstLineChars="200"/>
              <w:rPr>
                <w:rFonts w:hint="eastAsia" w:ascii="仿宋" w:hAnsi="仿宋" w:eastAsia="仿宋" w:cs="仿宋"/>
                <w:color w:val="auto"/>
                <w:sz w:val="24"/>
                <w:szCs w:val="20"/>
                <w:highlight w:val="none"/>
              </w:rPr>
            </w:pPr>
          </w:p>
        </w:tc>
        <w:tc>
          <w:tcPr>
            <w:tcW w:w="6215" w:type="dxa"/>
            <w:noWrap w:val="0"/>
            <w:vAlign w:val="top"/>
          </w:tcPr>
          <w:p w14:paraId="5B888791">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（六）采用新技术、新工艺、新材料、新设备可能影响工程施工安全，尚无国家、行业及地方技术标准的分部分项工程。</w:t>
            </w:r>
          </w:p>
        </w:tc>
      </w:tr>
    </w:tbl>
    <w:p w14:paraId="1B2F5EC8">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施工单位在投标时应补充完善危大工程清单并明确相应的安全管理措施。合理确定危大工程施工技术措施费以及相应的安全防护文明施工措施费，保障危大工程施工安全。施工单位应当在危大工程施工前组织工程技术人员编制专项施工方案，并通过施工单位审核 及总监理工程师审查。对于超过一定规模的危大工程，施工单位应当组织召开专家论证会对专项施工方案进行论证。</w:t>
      </w:r>
    </w:p>
    <w:p w14:paraId="3BC75D1F">
      <w:pPr>
        <w:topLinePunct/>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本项目涉及危大工程的部位和环节由于施工单位技术能力、施工工艺、施工机械和施工组织方案不同等因素，可能存在本设计文件未列入或有差异的情况。根据《危险性较大的分部分项工程安全管理规定》（建设部令第37号）和“建办质〔2018〕31号”文件及《河南省房屋建筑和市政基础设施工程危险性较大的分部分项工程安全管理实施细则》（豫建行规〔2021〕7号）文件规定，施工单位在投标时应补充完善危大工程清单并明确相应的安全管理措施。施工过程中出现其它危大工程，施工单位应及时采取应急措施，避免出现险情或事故，并及时通知设计单位。施工单位应当在危大工程区域显著位置设置安全警示标志，并公告危大工程部位、环节和危险性，以及施工时间和具体责任人员。</w:t>
      </w:r>
    </w:p>
    <w:p w14:paraId="25C8C491">
      <w:pPr>
        <w:topLinePunct/>
        <w:spacing w:line="360" w:lineRule="auto"/>
        <w:ind w:firstLine="480" w:firstLineChars="200"/>
        <w:rPr>
          <w:rFonts w:hint="eastAsia" w:ascii="宋体" w:hAnsi="宋体" w:eastAsia="宋体" w:cs="宋体"/>
          <w:color w:val="auto"/>
          <w:sz w:val="21"/>
          <w:szCs w:val="21"/>
          <w:highlight w:val="none"/>
          <w:u w:val="single"/>
        </w:rPr>
      </w:pPr>
      <w:r>
        <w:rPr>
          <w:rFonts w:hint="eastAsia" w:ascii="仿宋" w:hAnsi="仿宋" w:eastAsia="仿宋" w:cs="仿宋"/>
          <w:color w:val="auto"/>
          <w:sz w:val="24"/>
          <w:szCs w:val="20"/>
          <w:highlight w:val="none"/>
        </w:rPr>
        <w:t>包括但不限于以上内容，请根据本项目实际情况及相关法律法规自行判定填报。</w:t>
      </w:r>
    </w:p>
    <w:p w14:paraId="66315767">
      <w:pPr>
        <w:rPr>
          <w:rFonts w:hint="eastAsia"/>
          <w:color w:val="auto"/>
          <w:highlight w:val="none"/>
          <w:lang w:val="en-US" w:eastAsia="zh-CN"/>
        </w:rPr>
        <w:sectPr>
          <w:headerReference r:id="rId13" w:type="default"/>
          <w:footerReference r:id="rId14" w:type="default"/>
          <w:pgSz w:w="11906" w:h="16838"/>
          <w:pgMar w:top="1440" w:right="1587" w:bottom="1440" w:left="1587" w:header="851" w:footer="992" w:gutter="0"/>
          <w:pgNumType w:fmt="decimal"/>
          <w:cols w:space="720" w:num="1"/>
          <w:docGrid w:type="lines" w:linePitch="312" w:charSpace="0"/>
        </w:sectPr>
      </w:pPr>
    </w:p>
    <w:p w14:paraId="195CECB9">
      <w:pPr>
        <w:pStyle w:val="2"/>
        <w:keepNext w:val="0"/>
        <w:keepLines w:val="0"/>
        <w:spacing w:after="0" w:line="240" w:lineRule="auto"/>
        <w:jc w:val="center"/>
        <w:rPr>
          <w:rFonts w:hint="eastAsia" w:ascii="仿宋" w:hAnsi="仿宋" w:eastAsia="仿宋" w:cs="仿宋"/>
          <w:color w:val="auto"/>
          <w:sz w:val="32"/>
          <w:szCs w:val="32"/>
          <w:highlight w:val="none"/>
        </w:rPr>
      </w:pPr>
      <w:bookmarkStart w:id="528" w:name="_Toc2664"/>
      <w:bookmarkStart w:id="529" w:name="_Toc17789"/>
      <w:r>
        <w:rPr>
          <w:rFonts w:hint="eastAsia" w:ascii="仿宋" w:hAnsi="仿宋" w:eastAsia="仿宋" w:cs="仿宋"/>
          <w:color w:val="auto"/>
          <w:sz w:val="32"/>
          <w:szCs w:val="32"/>
          <w:highlight w:val="none"/>
        </w:rPr>
        <w:t>第七章 投标文件格式</w:t>
      </w:r>
      <w:bookmarkEnd w:id="521"/>
      <w:bookmarkEnd w:id="522"/>
      <w:bookmarkEnd w:id="523"/>
      <w:bookmarkEnd w:id="528"/>
      <w:bookmarkEnd w:id="529"/>
    </w:p>
    <w:p w14:paraId="4C0C9BCA">
      <w:pPr>
        <w:spacing w:line="400" w:lineRule="exact"/>
        <w:jc w:val="right"/>
        <w:rPr>
          <w:rFonts w:hint="eastAsia" w:ascii="仿宋" w:hAnsi="仿宋" w:eastAsia="仿宋" w:cs="仿宋"/>
          <w:color w:val="auto"/>
          <w:sz w:val="20"/>
          <w:szCs w:val="20"/>
          <w:highlight w:val="none"/>
        </w:rPr>
      </w:pPr>
    </w:p>
    <w:p w14:paraId="6CF0B14B">
      <w:pPr>
        <w:spacing w:line="440" w:lineRule="exact"/>
        <w:rPr>
          <w:rFonts w:hint="eastAsia" w:ascii="仿宋" w:hAnsi="仿宋" w:eastAsia="仿宋" w:cs="仿宋"/>
          <w:color w:val="auto"/>
          <w:sz w:val="20"/>
          <w:szCs w:val="20"/>
          <w:highlight w:val="none"/>
        </w:rPr>
      </w:pPr>
    </w:p>
    <w:p w14:paraId="1A884C7C">
      <w:pPr>
        <w:jc w:val="center"/>
        <w:rPr>
          <w:rFonts w:hint="eastAsia" w:ascii="仿宋" w:hAnsi="仿宋" w:eastAsia="仿宋" w:cs="仿宋"/>
          <w:color w:val="auto"/>
          <w:sz w:val="20"/>
          <w:szCs w:val="20"/>
          <w:highlight w:val="none"/>
        </w:rPr>
      </w:pPr>
      <w:r>
        <w:rPr>
          <w:rFonts w:hint="eastAsia" w:ascii="仿宋" w:hAnsi="仿宋" w:eastAsia="仿宋" w:cs="仿宋"/>
          <w:color w:val="auto"/>
          <w:sz w:val="28"/>
          <w:szCs w:val="28"/>
          <w:highlight w:val="none"/>
          <w:u w:val="single"/>
        </w:rPr>
        <w:t xml:space="preserve">                          （项目名称）</w:t>
      </w:r>
    </w:p>
    <w:p w14:paraId="7DB85EEE">
      <w:pPr>
        <w:rPr>
          <w:rFonts w:hint="eastAsia" w:ascii="仿宋" w:hAnsi="仿宋" w:eastAsia="仿宋" w:cs="仿宋"/>
          <w:color w:val="auto"/>
          <w:sz w:val="20"/>
          <w:szCs w:val="20"/>
          <w:highlight w:val="none"/>
        </w:rPr>
      </w:pPr>
    </w:p>
    <w:p w14:paraId="59A92194">
      <w:pPr>
        <w:rPr>
          <w:rFonts w:hint="eastAsia" w:ascii="仿宋" w:hAnsi="仿宋" w:eastAsia="仿宋" w:cs="仿宋"/>
          <w:color w:val="auto"/>
          <w:sz w:val="20"/>
          <w:szCs w:val="20"/>
          <w:highlight w:val="none"/>
        </w:rPr>
      </w:pPr>
    </w:p>
    <w:p w14:paraId="117D5F1B">
      <w:pPr>
        <w:rPr>
          <w:rFonts w:hint="eastAsia" w:ascii="仿宋" w:hAnsi="仿宋" w:eastAsia="仿宋" w:cs="仿宋"/>
          <w:color w:val="auto"/>
          <w:sz w:val="20"/>
          <w:szCs w:val="20"/>
          <w:highlight w:val="none"/>
        </w:rPr>
      </w:pPr>
    </w:p>
    <w:p w14:paraId="083D961F">
      <w:pPr>
        <w:rPr>
          <w:rFonts w:hint="eastAsia" w:ascii="仿宋" w:hAnsi="仿宋" w:eastAsia="仿宋" w:cs="仿宋"/>
          <w:color w:val="auto"/>
          <w:sz w:val="20"/>
          <w:szCs w:val="20"/>
          <w:highlight w:val="none"/>
        </w:rPr>
      </w:pPr>
    </w:p>
    <w:p w14:paraId="2E99C1E2">
      <w:pPr>
        <w:jc w:val="center"/>
        <w:rPr>
          <w:rFonts w:hint="eastAsia" w:ascii="仿宋" w:hAnsi="仿宋" w:eastAsia="仿宋" w:cs="仿宋"/>
          <w:b/>
          <w:color w:val="auto"/>
          <w:sz w:val="72"/>
          <w:szCs w:val="44"/>
          <w:highlight w:val="none"/>
        </w:rPr>
      </w:pPr>
      <w:r>
        <w:rPr>
          <w:rFonts w:hint="eastAsia" w:ascii="仿宋" w:hAnsi="仿宋" w:eastAsia="仿宋" w:cs="仿宋"/>
          <w:b/>
          <w:color w:val="auto"/>
          <w:sz w:val="72"/>
          <w:szCs w:val="44"/>
          <w:highlight w:val="none"/>
        </w:rPr>
        <w:t>投  标  文  件</w:t>
      </w:r>
    </w:p>
    <w:p w14:paraId="6B387741">
      <w:pPr>
        <w:ind w:firstLine="2240" w:firstLineChars="8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u w:val="single"/>
        </w:rPr>
        <w:t xml:space="preserve">                  </w:t>
      </w:r>
    </w:p>
    <w:p w14:paraId="06D6AE17">
      <w:pPr>
        <w:rPr>
          <w:rFonts w:hint="eastAsia" w:ascii="仿宋" w:hAnsi="仿宋" w:eastAsia="仿宋" w:cs="仿宋"/>
          <w:color w:val="auto"/>
          <w:sz w:val="28"/>
          <w:szCs w:val="28"/>
          <w:highlight w:val="none"/>
        </w:rPr>
      </w:pPr>
    </w:p>
    <w:p w14:paraId="3A463A2F">
      <w:pPr>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标段</w:t>
      </w:r>
    </w:p>
    <w:p w14:paraId="54888A6E">
      <w:pPr>
        <w:rPr>
          <w:rFonts w:hint="eastAsia" w:ascii="仿宋" w:hAnsi="仿宋" w:eastAsia="仿宋" w:cs="仿宋"/>
          <w:color w:val="auto"/>
          <w:sz w:val="28"/>
          <w:szCs w:val="28"/>
          <w:highlight w:val="none"/>
        </w:rPr>
      </w:pPr>
    </w:p>
    <w:p w14:paraId="36883322">
      <w:pPr>
        <w:rPr>
          <w:rFonts w:hint="eastAsia" w:ascii="仿宋" w:hAnsi="仿宋" w:eastAsia="仿宋" w:cs="仿宋"/>
          <w:color w:val="auto"/>
          <w:sz w:val="28"/>
          <w:szCs w:val="28"/>
          <w:highlight w:val="none"/>
        </w:rPr>
      </w:pPr>
    </w:p>
    <w:p w14:paraId="469D8167">
      <w:pPr>
        <w:rPr>
          <w:rFonts w:hint="eastAsia" w:ascii="仿宋" w:hAnsi="仿宋" w:eastAsia="仿宋" w:cs="仿宋"/>
          <w:color w:val="auto"/>
          <w:sz w:val="28"/>
          <w:szCs w:val="28"/>
          <w:highlight w:val="none"/>
        </w:rPr>
      </w:pPr>
    </w:p>
    <w:p w14:paraId="32E995B2">
      <w:pPr>
        <w:rPr>
          <w:rFonts w:hint="eastAsia" w:ascii="仿宋" w:hAnsi="仿宋" w:eastAsia="仿宋" w:cs="仿宋"/>
          <w:color w:val="auto"/>
          <w:sz w:val="28"/>
          <w:szCs w:val="28"/>
          <w:highlight w:val="none"/>
        </w:rPr>
      </w:pPr>
    </w:p>
    <w:p w14:paraId="2C611201">
      <w:pPr>
        <w:spacing w:line="360" w:lineRule="auto"/>
        <w:rPr>
          <w:rFonts w:hint="eastAsia" w:ascii="仿宋" w:hAnsi="仿宋" w:eastAsia="仿宋" w:cs="仿宋"/>
          <w:color w:val="auto"/>
          <w:sz w:val="28"/>
          <w:szCs w:val="28"/>
          <w:highlight w:val="none"/>
        </w:rPr>
      </w:pPr>
    </w:p>
    <w:p w14:paraId="15C6F546">
      <w:pPr>
        <w:pStyle w:val="8"/>
        <w:rPr>
          <w:rFonts w:hint="eastAsia" w:ascii="Times New Roman" w:hAnsi="Times New Roman" w:eastAsia="宋体" w:cs="Times New Roman"/>
          <w:color w:val="auto"/>
          <w:highlight w:val="none"/>
        </w:rPr>
      </w:pPr>
    </w:p>
    <w:p w14:paraId="31DABDBC">
      <w:pPr>
        <w:spacing w:line="360" w:lineRule="auto"/>
        <w:jc w:val="center"/>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 xml:space="preserve">  投 标 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w:t>
      </w:r>
      <w:r>
        <w:rPr>
          <w:rFonts w:hint="eastAsia" w:ascii="仿宋" w:hAnsi="仿宋" w:eastAsia="仿宋" w:cs="仿宋"/>
          <w:color w:val="auto"/>
          <w:sz w:val="28"/>
          <w:szCs w:val="28"/>
          <w:highlight w:val="none"/>
          <w:lang w:eastAsia="zh-CN"/>
        </w:rPr>
        <w:t>单位公章</w:t>
      </w:r>
      <w:r>
        <w:rPr>
          <w:rFonts w:hint="eastAsia" w:ascii="仿宋" w:hAnsi="仿宋" w:eastAsia="仿宋" w:cs="仿宋"/>
          <w:color w:val="auto"/>
          <w:sz w:val="28"/>
          <w:szCs w:val="28"/>
          <w:highlight w:val="none"/>
        </w:rPr>
        <w:t>）</w:t>
      </w:r>
    </w:p>
    <w:p w14:paraId="75AA66F8">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法定代表人或其委托代理人：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（签字或盖电子章）</w:t>
      </w:r>
    </w:p>
    <w:p w14:paraId="10F559A6">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3A62EA2F">
      <w:pPr>
        <w:spacing w:line="360" w:lineRule="auto"/>
        <w:rPr>
          <w:rFonts w:hint="eastAsia" w:ascii="仿宋" w:hAnsi="仿宋" w:eastAsia="仿宋" w:cs="仿宋"/>
          <w:color w:val="auto"/>
          <w:sz w:val="20"/>
          <w:szCs w:val="20"/>
          <w:highlight w:val="none"/>
        </w:rPr>
      </w:pPr>
    </w:p>
    <w:p w14:paraId="37DA9DEC">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color w:val="auto"/>
          <w:highlight w:val="none"/>
        </w:rPr>
        <w:br w:type="page"/>
      </w:r>
      <w:r>
        <w:rPr>
          <w:rFonts w:hint="eastAsia" w:ascii="仿宋" w:hAnsi="仿宋" w:eastAsia="仿宋" w:cs="仿宋"/>
          <w:b/>
          <w:color w:val="auto"/>
          <w:sz w:val="28"/>
          <w:szCs w:val="28"/>
          <w:highlight w:val="none"/>
        </w:rPr>
        <w:t>洛阳市建设工程廉洁自律承诺书</w:t>
      </w:r>
    </w:p>
    <w:p w14:paraId="78751F3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工程建设的相关单位，特向市委、市政府做出如下庄严承诺：</w:t>
      </w:r>
    </w:p>
    <w:p w14:paraId="28599AF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一、严格遵守党纪国法和各项政策规定，将廉政建设和廉洁从业的各项要求贯彻始终，廉洁自律，加强监督，保证将工程建设成廉洁工程。</w:t>
      </w:r>
    </w:p>
    <w:p w14:paraId="36175D0C">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二、严格遵守职业道德，坚持公开、公正、公平的原则，依法合规参与竞争，努力推进诚信建设，决不从事任何不正当竞争和任何违法违纪行为。</w:t>
      </w:r>
    </w:p>
    <w:p w14:paraId="580CE5B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53FD821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四、建立工程质量监管保证体系。严格按照国家各项相关法规和技术规范从事设计、施工、监理，确保工程设计、施工组织、质量监理全部依法合规，争创优质工程。</w:t>
      </w:r>
    </w:p>
    <w:p w14:paraId="01DDC89C">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五、建立安全生产监管保证体系。按照国家各项相关法律和技术规范，在工程建设中落实安全生产“三同时”要求，确保施工人员和其他相关人员生命及人身安全，严防各类安全事故的发生。</w:t>
      </w:r>
    </w:p>
    <w:p w14:paraId="792EAAC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六、遵守财经法规，厉行勤俭节约，杜绝铺张浪费，严格控制开支，最大限度地压缩工程费用，节约资金。</w:t>
      </w:r>
    </w:p>
    <w:p w14:paraId="502B2E6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七、定期不定期地对工程建设中的廉政建设和廉洁从业情况进行内部监督检查，同时主动接受外部有关部门依法依纪的监督检查，及时发现和整改存在的各种问题。</w:t>
      </w:r>
    </w:p>
    <w:p w14:paraId="1304A3FF">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八、如在工程建设中发生违法违纪行为和腐败问题，自愿接受党纪、政纪处理直至追究法律责任。</w:t>
      </w:r>
    </w:p>
    <w:p w14:paraId="34DB12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承诺单位（盖单位电子章）：</w:t>
      </w:r>
    </w:p>
    <w:p w14:paraId="306733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法定代表人（签字或盖电子章）：</w:t>
      </w:r>
    </w:p>
    <w:p w14:paraId="4F447522">
      <w:pPr>
        <w:spacing w:line="360" w:lineRule="auto"/>
        <w:ind w:firstLine="435"/>
        <w:rPr>
          <w:rFonts w:hint="eastAsia" w:ascii="仿宋" w:hAnsi="仿宋" w:eastAsia="仿宋" w:cs="仿宋"/>
          <w:color w:val="auto"/>
          <w:sz w:val="24"/>
          <w:highlight w:val="none"/>
        </w:rPr>
      </w:pPr>
    </w:p>
    <w:p w14:paraId="59FADC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6875FC4">
      <w:pPr>
        <w:spacing w:before="240" w:line="440" w:lineRule="exact"/>
        <w:jc w:val="center"/>
        <w:rPr>
          <w:rFonts w:hint="eastAsia" w:ascii="仿宋" w:hAnsi="仿宋" w:eastAsia="仿宋" w:cs="仿宋"/>
          <w:b/>
          <w:bCs/>
          <w:color w:val="auto"/>
          <w:sz w:val="28"/>
          <w:szCs w:val="28"/>
          <w:highlight w:val="none"/>
        </w:rPr>
      </w:pPr>
      <w:r>
        <w:rPr>
          <w:rFonts w:hint="eastAsia" w:ascii="仿宋" w:hAnsi="仿宋" w:eastAsia="仿宋" w:cs="仿宋"/>
          <w:color w:val="auto"/>
          <w:szCs w:val="21"/>
          <w:highlight w:val="none"/>
        </w:rPr>
        <w:br w:type="page"/>
      </w:r>
      <w:r>
        <w:rPr>
          <w:rFonts w:hint="eastAsia" w:ascii="仿宋" w:hAnsi="仿宋" w:eastAsia="仿宋" w:cs="仿宋"/>
          <w:b/>
          <w:bCs/>
          <w:color w:val="auto"/>
          <w:sz w:val="28"/>
          <w:szCs w:val="28"/>
          <w:highlight w:val="none"/>
        </w:rPr>
        <w:t>廉洁自律告知书</w:t>
      </w:r>
    </w:p>
    <w:p w14:paraId="61C769A0">
      <w:pPr>
        <w:spacing w:line="360" w:lineRule="auto"/>
        <w:ind w:firstLine="435"/>
        <w:rPr>
          <w:rFonts w:hint="eastAsia" w:ascii="仿宋" w:hAnsi="仿宋" w:eastAsia="仿宋" w:cs="仿宋"/>
          <w:color w:val="auto"/>
          <w:sz w:val="24"/>
          <w:highlight w:val="none"/>
        </w:rPr>
      </w:pPr>
    </w:p>
    <w:p w14:paraId="0E9126AB">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为维护公平竞争的市场秩序,从源头上有效预防和制止违法违纪行为和腐败问题的发生,促进工程项目建设廉洁优质高效，现就有关事项告知如下：</w:t>
      </w:r>
    </w:p>
    <w:p w14:paraId="2645BD3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1、严格遵守工程建设项目的法律、法规及规章制度。</w:t>
      </w:r>
    </w:p>
    <w:p w14:paraId="37C10C81">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2、严格遵守职业道德，坚持公开、公正、公平、诚信的原则；</w:t>
      </w:r>
    </w:p>
    <w:p w14:paraId="36AFE73B">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3、严格执行工程建设项目合同文件，自觉按合同办事；</w:t>
      </w:r>
    </w:p>
    <w:p w14:paraId="4EC0A44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4、严格执行工程建设项目招标投标、物资采购、设计变更、质量认证、安全生产等各项规定；</w:t>
      </w:r>
    </w:p>
    <w:p w14:paraId="6D98233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5、严禁为了获取不正当的利益而损害国家利益、社会公共利益或者他人合法权益；</w:t>
      </w:r>
    </w:p>
    <w:p w14:paraId="1D93A6CF">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6、严禁向项目建设单位和相关职能部门及有关人员赠送礼金、有价证券、贵重物品或回扣、好处费、感谢费等，不直接或变相行贿搞商业贿赂；</w:t>
      </w:r>
    </w:p>
    <w:p w14:paraId="55FD6131">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7、加强内部监督，并自觉接受有关职能部门对工程建设情况的监督检查；</w:t>
      </w:r>
    </w:p>
    <w:p w14:paraId="3EE7FBA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8、严格执行廉洁从业各项规定，并向市委、市政府作出廉洁自律承诺。</w:t>
      </w:r>
    </w:p>
    <w:p w14:paraId="5AFC873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违反上述告知事项造成不良影响或严重后果的，按照国家有关法律法规予以处理；涉嫌犯罪的，移送司法机关依法追究刑事责任。</w:t>
      </w:r>
    </w:p>
    <w:p w14:paraId="4E3EC71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本人已认真阅读并充分理解以上条款，并代表所属单位严格遵守。</w:t>
      </w:r>
    </w:p>
    <w:p w14:paraId="62CDFFD9">
      <w:pPr>
        <w:spacing w:line="360" w:lineRule="auto"/>
        <w:ind w:firstLine="435"/>
        <w:rPr>
          <w:rFonts w:hint="eastAsia" w:ascii="仿宋" w:hAnsi="仿宋" w:eastAsia="仿宋" w:cs="仿宋"/>
          <w:color w:val="auto"/>
          <w:sz w:val="24"/>
          <w:highlight w:val="none"/>
        </w:rPr>
      </w:pPr>
    </w:p>
    <w:p w14:paraId="76580CD7">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投标单位（盖单位电子章）：</w:t>
      </w:r>
    </w:p>
    <w:p w14:paraId="27C14755">
      <w:pPr>
        <w:spacing w:line="360" w:lineRule="auto"/>
        <w:ind w:firstLine="435"/>
        <w:rPr>
          <w:rFonts w:hint="eastAsia" w:ascii="仿宋" w:hAnsi="仿宋" w:eastAsia="仿宋" w:cs="仿宋"/>
          <w:color w:val="auto"/>
          <w:sz w:val="24"/>
          <w:highlight w:val="none"/>
        </w:rPr>
      </w:pPr>
    </w:p>
    <w:p w14:paraId="06E3952C">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法定代表人（签字或盖电子章）：</w:t>
      </w:r>
    </w:p>
    <w:p w14:paraId="0516199F">
      <w:pPr>
        <w:ind w:firstLine="435"/>
        <w:rPr>
          <w:rFonts w:hint="eastAsia" w:ascii="仿宋" w:hAnsi="仿宋" w:eastAsia="仿宋" w:cs="仿宋"/>
          <w:color w:val="auto"/>
          <w:sz w:val="24"/>
          <w:highlight w:val="none"/>
        </w:rPr>
      </w:pPr>
    </w:p>
    <w:p w14:paraId="75A573CE">
      <w:pPr>
        <w:spacing w:line="40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日期：         年     月     日</w:t>
      </w:r>
    </w:p>
    <w:p w14:paraId="195E6A1A">
      <w:pPr>
        <w:spacing w:line="400" w:lineRule="exact"/>
        <w:rPr>
          <w:rFonts w:ascii="仿宋" w:hAnsi="仿宋" w:eastAsia="仿宋" w:cs="仿宋"/>
          <w:color w:val="auto"/>
          <w:highlight w:val="none"/>
        </w:rPr>
      </w:pPr>
      <w:r>
        <w:rPr>
          <w:rFonts w:ascii="仿宋" w:hAnsi="仿宋" w:eastAsia="仿宋" w:cs="仿宋"/>
          <w:color w:val="auto"/>
          <w:highlight w:val="none"/>
        </w:rPr>
        <w:br w:type="page"/>
      </w:r>
      <w:bookmarkStart w:id="530" w:name="_Toc8423599"/>
      <w:bookmarkStart w:id="531" w:name="_Toc144974856"/>
      <w:bookmarkStart w:id="532" w:name="_Toc152042576"/>
      <w:bookmarkStart w:id="533" w:name="_Toc152045787"/>
    </w:p>
    <w:p w14:paraId="47EC0819">
      <w:pPr>
        <w:pStyle w:val="8"/>
        <w:rPr>
          <w:rFonts w:hint="eastAsia" w:ascii="Times New Roman" w:hAnsi="Times New Roman" w:eastAsia="宋体" w:cs="Times New Roman"/>
          <w:color w:val="auto"/>
          <w:highlight w:val="none"/>
        </w:rPr>
      </w:pPr>
    </w:p>
    <w:p w14:paraId="4D566D23">
      <w:pPr>
        <w:pStyle w:val="35"/>
        <w:spacing w:before="156"/>
        <w:jc w:val="center"/>
        <w:rPr>
          <w:rFonts w:hint="eastAsia" w:ascii="仿宋" w:hAnsi="仿宋" w:cs="仿宋"/>
          <w:b/>
          <w:color w:val="auto"/>
          <w:highlight w:val="none"/>
        </w:rPr>
      </w:pPr>
      <w:bookmarkStart w:id="534" w:name="_Toc24768"/>
      <w:bookmarkStart w:id="535" w:name="_Toc17383"/>
      <w:bookmarkStart w:id="536" w:name="_Toc38209186"/>
      <w:bookmarkStart w:id="537" w:name="_Toc29498"/>
      <w:r>
        <w:rPr>
          <w:rFonts w:hint="eastAsia" w:ascii="仿宋" w:hAnsi="仿宋" w:cs="仿宋"/>
          <w:b/>
          <w:color w:val="auto"/>
          <w:highlight w:val="none"/>
        </w:rPr>
        <w:t>目    录</w:t>
      </w:r>
      <w:bookmarkEnd w:id="530"/>
      <w:bookmarkEnd w:id="531"/>
      <w:bookmarkEnd w:id="532"/>
      <w:bookmarkEnd w:id="533"/>
      <w:bookmarkEnd w:id="534"/>
      <w:bookmarkEnd w:id="535"/>
      <w:bookmarkEnd w:id="536"/>
      <w:bookmarkEnd w:id="537"/>
    </w:p>
    <w:p w14:paraId="1681E6BE">
      <w:pPr>
        <w:spacing w:line="540" w:lineRule="exact"/>
        <w:ind w:firstLine="1050" w:firstLineChars="500"/>
        <w:rPr>
          <w:rFonts w:hint="eastAsia" w:ascii="仿宋" w:hAnsi="仿宋" w:eastAsia="仿宋" w:cs="仿宋"/>
          <w:color w:val="auto"/>
          <w:highlight w:val="none"/>
        </w:rPr>
      </w:pPr>
    </w:p>
    <w:p w14:paraId="624B5BFC">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一、投标函及投标函附录</w:t>
      </w:r>
    </w:p>
    <w:p w14:paraId="18328B80">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二、法定代表人身份证明及授权委托书</w:t>
      </w:r>
    </w:p>
    <w:p w14:paraId="63BF6618">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三、投标承诺书</w:t>
      </w:r>
    </w:p>
    <w:p w14:paraId="68B691B0">
      <w:pPr>
        <w:spacing w:line="540" w:lineRule="exact"/>
        <w:ind w:firstLine="480" w:firstLineChars="200"/>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四、中小微企业声明函</w:t>
      </w:r>
    </w:p>
    <w:p w14:paraId="0C385CA3">
      <w:pPr>
        <w:spacing w:line="540" w:lineRule="exact"/>
        <w:ind w:firstLine="480" w:firstLineChars="200"/>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五、残疾人福利性单位声明函</w:t>
      </w:r>
    </w:p>
    <w:p w14:paraId="09BF9F66">
      <w:pPr>
        <w:spacing w:line="540" w:lineRule="exact"/>
        <w:ind w:firstLine="480" w:firstLineChars="200"/>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六、监狱企业证明文件</w:t>
      </w:r>
    </w:p>
    <w:p w14:paraId="102882A6">
      <w:pPr>
        <w:spacing w:line="540" w:lineRule="exact"/>
        <w:ind w:firstLine="480" w:firstLineChars="200"/>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七</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已标价工程量清单</w:t>
      </w:r>
    </w:p>
    <w:p w14:paraId="4F23AA0C">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八</w:t>
      </w:r>
      <w:r>
        <w:rPr>
          <w:rFonts w:hint="eastAsia" w:ascii="仿宋" w:hAnsi="仿宋" w:eastAsia="仿宋" w:cs="仿宋"/>
          <w:color w:val="auto"/>
          <w:sz w:val="24"/>
          <w:szCs w:val="32"/>
          <w:highlight w:val="none"/>
        </w:rPr>
        <w:t>、关于资格的声明函</w:t>
      </w:r>
    </w:p>
    <w:p w14:paraId="68FEB704">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九</w:t>
      </w:r>
      <w:r>
        <w:rPr>
          <w:rFonts w:hint="eastAsia" w:ascii="仿宋" w:hAnsi="仿宋" w:eastAsia="仿宋" w:cs="仿宋"/>
          <w:color w:val="auto"/>
          <w:sz w:val="24"/>
          <w:szCs w:val="32"/>
          <w:highlight w:val="none"/>
        </w:rPr>
        <w:t>、资格审查资料</w:t>
      </w:r>
    </w:p>
    <w:p w14:paraId="6A6A9C35">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w:t>
      </w:r>
      <w:r>
        <w:rPr>
          <w:rFonts w:hint="eastAsia" w:ascii="仿宋" w:hAnsi="仿宋" w:eastAsia="仿宋" w:cs="仿宋"/>
          <w:color w:val="auto"/>
          <w:sz w:val="24"/>
          <w:szCs w:val="32"/>
          <w:highlight w:val="none"/>
        </w:rPr>
        <w:t>、施工组织设计</w:t>
      </w:r>
    </w:p>
    <w:p w14:paraId="7483DABB">
      <w:pPr>
        <w:spacing w:line="540" w:lineRule="exact"/>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十一</w:t>
      </w:r>
      <w:r>
        <w:rPr>
          <w:rFonts w:hint="eastAsia" w:ascii="仿宋" w:hAnsi="仿宋" w:eastAsia="仿宋" w:cs="仿宋"/>
          <w:color w:val="auto"/>
          <w:sz w:val="24"/>
          <w:szCs w:val="32"/>
          <w:highlight w:val="none"/>
        </w:rPr>
        <w:t>、项目管理机构</w:t>
      </w:r>
    </w:p>
    <w:p w14:paraId="28C9A983">
      <w:pPr>
        <w:spacing w:line="540" w:lineRule="exact"/>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十二</w:t>
      </w:r>
      <w:r>
        <w:rPr>
          <w:rFonts w:hint="eastAsia" w:ascii="仿宋" w:hAnsi="仿宋" w:eastAsia="仿宋" w:cs="仿宋"/>
          <w:color w:val="auto"/>
          <w:sz w:val="24"/>
          <w:szCs w:val="32"/>
          <w:highlight w:val="none"/>
        </w:rPr>
        <w:t>、其他资料</w:t>
      </w:r>
    </w:p>
    <w:p w14:paraId="2106581B">
      <w:pPr>
        <w:spacing w:line="540" w:lineRule="exact"/>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bookmarkStart w:id="538" w:name="_Toc152042577"/>
      <w:bookmarkStart w:id="539" w:name="_Toc38209187"/>
      <w:bookmarkStart w:id="540" w:name="_Toc152045788"/>
      <w:bookmarkStart w:id="541" w:name="_Toc144974857"/>
      <w:bookmarkStart w:id="542" w:name="_Toc8423600"/>
      <w:r>
        <w:rPr>
          <w:rFonts w:hint="eastAsia" w:ascii="仿宋" w:hAnsi="仿宋" w:eastAsia="仿宋" w:cs="仿宋"/>
          <w:b/>
          <w:color w:val="auto"/>
          <w:sz w:val="32"/>
          <w:szCs w:val="20"/>
          <w:highlight w:val="none"/>
        </w:rPr>
        <w:t>一、投标函及投标函附录</w:t>
      </w:r>
      <w:bookmarkEnd w:id="538"/>
      <w:bookmarkEnd w:id="539"/>
      <w:bookmarkEnd w:id="540"/>
      <w:bookmarkEnd w:id="541"/>
      <w:bookmarkEnd w:id="542"/>
    </w:p>
    <w:p w14:paraId="31C3596D">
      <w:pPr>
        <w:pStyle w:val="52"/>
        <w:spacing w:before="156" w:beforeLines="50" w:line="360" w:lineRule="auto"/>
        <w:jc w:val="center"/>
        <w:rPr>
          <w:rFonts w:hint="eastAsia" w:ascii="仿宋" w:hAnsi="仿宋" w:eastAsia="仿宋" w:cs="仿宋"/>
          <w:b/>
          <w:color w:val="auto"/>
          <w:szCs w:val="23"/>
          <w:highlight w:val="none"/>
        </w:rPr>
      </w:pPr>
      <w:bookmarkStart w:id="543" w:name="_Toc38209188"/>
      <w:bookmarkStart w:id="544" w:name="_Toc8423601"/>
      <w:bookmarkStart w:id="545" w:name="_Toc152042578"/>
      <w:bookmarkStart w:id="546" w:name="_Toc152045789"/>
      <w:bookmarkStart w:id="547" w:name="_Toc2287"/>
      <w:bookmarkStart w:id="548" w:name="_Toc27877"/>
      <w:bookmarkStart w:id="549" w:name="_Toc4795"/>
      <w:bookmarkStart w:id="550" w:name="_Toc106712899"/>
      <w:bookmarkStart w:id="551" w:name="_Toc144974858"/>
      <w:r>
        <w:rPr>
          <w:rFonts w:hint="eastAsia" w:ascii="仿宋" w:hAnsi="仿宋" w:eastAsia="仿宋" w:cs="仿宋"/>
          <w:b/>
          <w:color w:val="auto"/>
          <w:szCs w:val="23"/>
          <w:highlight w:val="none"/>
        </w:rPr>
        <w:t>（一）投标函</w:t>
      </w:r>
      <w:bookmarkEnd w:id="543"/>
      <w:bookmarkEnd w:id="544"/>
      <w:bookmarkEnd w:id="545"/>
      <w:bookmarkEnd w:id="546"/>
      <w:bookmarkEnd w:id="547"/>
      <w:bookmarkEnd w:id="548"/>
      <w:bookmarkEnd w:id="549"/>
      <w:bookmarkEnd w:id="550"/>
      <w:bookmarkEnd w:id="551"/>
    </w:p>
    <w:p w14:paraId="798E2A9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（招标人名称）：</w:t>
      </w:r>
    </w:p>
    <w:p w14:paraId="7579492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1.我方已仔细研究了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标段</w:t>
      </w:r>
      <w:r>
        <w:rPr>
          <w:rFonts w:hint="eastAsia" w:ascii="仿宋" w:hAnsi="仿宋" w:eastAsia="仿宋" w:cs="仿宋"/>
          <w:color w:val="auto"/>
          <w:sz w:val="24"/>
          <w:highlight w:val="none"/>
        </w:rPr>
        <w:t>招标文件的全部内容，对本项目愿意以人民币（大写）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）的投标总报价，变更签证优惠率     %工期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日历天，按合同约定实施和完成承包工程，修补工程中的任何缺陷，缺陷责任期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47D9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2.我方承诺在投标有效期内不修改、撤销投标文件。 </w:t>
      </w:r>
    </w:p>
    <w:p w14:paraId="601DC0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3.如果我方中标，我方保证在按照合同约定进行施工，并确保工程质量达到</w:t>
      </w:r>
    </w:p>
    <w:p w14:paraId="6FA13B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标准。我方同意本投标函在招标文件规定的提交投标文件截止时间后，在招标文件规定的投标有效期期满前对我方具有约束力，且随时准备接受你方发出的中标通知书。</w:t>
      </w:r>
    </w:p>
    <w:p w14:paraId="285E1E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4.我方承诺除商务和技术偏差表列出的偏差外，响应招标文件的全部要求。</w:t>
      </w:r>
    </w:p>
    <w:p w14:paraId="21DC24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5.我方在此声明，所递交的投标文件及有关资料内容完整、真实和准确，且不存在第二章“投标人须知”总则第1.4.3项规定的任何一种情形。 </w:t>
      </w:r>
    </w:p>
    <w:p w14:paraId="4299FFF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6．如我方中标，我方承诺：</w:t>
      </w:r>
    </w:p>
    <w:p w14:paraId="75E6C4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（1）在收到中标通知书后，在中标通知书规定的期限内与你方签订合同；</w:t>
      </w:r>
    </w:p>
    <w:p w14:paraId="53A783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（2）在签订合同时不向你方提出附加条件；</w:t>
      </w:r>
    </w:p>
    <w:p w14:paraId="3F341A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）在合同约定的期限内完成合同规定的全部义务。</w:t>
      </w:r>
    </w:p>
    <w:p w14:paraId="0C7739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7.我方在此声明，所递交的投标文件及有关资料内容完整、真实和准确。</w:t>
      </w:r>
    </w:p>
    <w:p w14:paraId="5C02E03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（其他补充说明）。</w:t>
      </w:r>
    </w:p>
    <w:p w14:paraId="65C38C56">
      <w:pPr>
        <w:spacing w:line="440" w:lineRule="exact"/>
        <w:rPr>
          <w:rFonts w:hint="eastAsia" w:ascii="仿宋" w:hAnsi="仿宋" w:eastAsia="仿宋" w:cs="仿宋"/>
          <w:color w:val="auto"/>
          <w:sz w:val="24"/>
          <w:highlight w:val="none"/>
        </w:rPr>
      </w:pPr>
    </w:p>
    <w:p w14:paraId="598CDB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w:t>
      </w:r>
    </w:p>
    <w:p w14:paraId="1C2552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（签字或盖电子章）</w:t>
      </w:r>
    </w:p>
    <w:p w14:paraId="60DB3AC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p>
    <w:p w14:paraId="502614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r>
        <w:rPr>
          <w:rFonts w:hint="eastAsia" w:ascii="仿宋" w:hAnsi="仿宋" w:eastAsia="仿宋" w:cs="仿宋"/>
          <w:color w:val="auto"/>
          <w:sz w:val="24"/>
          <w:highlight w:val="none"/>
          <w:u w:val="single"/>
        </w:rPr>
        <w:t xml:space="preserve">                                     </w:t>
      </w:r>
    </w:p>
    <w:p w14:paraId="2B7C82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p>
    <w:p w14:paraId="7625A0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u w:val="single"/>
        </w:rPr>
        <w:t xml:space="preserve">                                     </w:t>
      </w:r>
    </w:p>
    <w:p w14:paraId="46B4DD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w:t>
      </w:r>
    </w:p>
    <w:p w14:paraId="318BD0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EF01F5B">
      <w:pPr>
        <w:pStyle w:val="52"/>
        <w:spacing w:before="156" w:beforeLines="50" w:line="360" w:lineRule="auto"/>
        <w:jc w:val="center"/>
        <w:rPr>
          <w:rFonts w:hint="eastAsia" w:ascii="仿宋" w:hAnsi="仿宋" w:eastAsia="仿宋" w:cs="仿宋"/>
          <w:b/>
          <w:color w:val="auto"/>
          <w:szCs w:val="23"/>
          <w:highlight w:val="none"/>
        </w:rPr>
      </w:pPr>
      <w:bookmarkStart w:id="552" w:name="_Toc106712900"/>
      <w:bookmarkStart w:id="553" w:name="_Toc152042579"/>
      <w:bookmarkStart w:id="554" w:name="_Toc8423602"/>
      <w:bookmarkStart w:id="555" w:name="_Toc2224"/>
      <w:bookmarkStart w:id="556" w:name="_Toc152045790"/>
      <w:bookmarkStart w:id="557" w:name="_Toc38209189"/>
      <w:bookmarkStart w:id="558" w:name="_Toc641"/>
      <w:bookmarkStart w:id="559" w:name="_Toc144974859"/>
      <w:bookmarkStart w:id="560" w:name="_Toc15021"/>
      <w:r>
        <w:rPr>
          <w:rFonts w:hint="eastAsia" w:ascii="仿宋" w:hAnsi="仿宋" w:eastAsia="仿宋" w:cs="仿宋"/>
          <w:b/>
          <w:color w:val="auto"/>
          <w:szCs w:val="23"/>
          <w:highlight w:val="none"/>
        </w:rPr>
        <w:t>（二）投标函附录</w:t>
      </w:r>
      <w:bookmarkEnd w:id="552"/>
      <w:bookmarkEnd w:id="553"/>
      <w:bookmarkEnd w:id="554"/>
      <w:bookmarkEnd w:id="555"/>
      <w:bookmarkEnd w:id="556"/>
      <w:bookmarkEnd w:id="557"/>
      <w:bookmarkEnd w:id="558"/>
      <w:bookmarkEnd w:id="559"/>
      <w:bookmarkEnd w:id="560"/>
    </w:p>
    <w:p w14:paraId="6220C617">
      <w:pPr>
        <w:rPr>
          <w:rFonts w:hint="eastAsia" w:ascii="仿宋" w:hAnsi="仿宋" w:eastAsia="仿宋" w:cs="仿宋"/>
          <w:color w:val="auto"/>
          <w:highlight w:val="none"/>
        </w:rPr>
      </w:pPr>
    </w:p>
    <w:tbl>
      <w:tblPr>
        <w:tblStyle w:val="26"/>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75"/>
        <w:gridCol w:w="4114"/>
        <w:gridCol w:w="1020"/>
      </w:tblGrid>
      <w:tr w14:paraId="5C1B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817" w:type="dxa"/>
            <w:vAlign w:val="center"/>
          </w:tcPr>
          <w:p w14:paraId="679966CA">
            <w:pPr>
              <w:adjustRightInd w:val="0"/>
              <w:spacing w:line="440" w:lineRule="exact"/>
              <w:jc w:val="center"/>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2675" w:type="dxa"/>
            <w:vAlign w:val="center"/>
          </w:tcPr>
          <w:p w14:paraId="0108EAFC">
            <w:pPr>
              <w:adjustRightInd w:val="0"/>
              <w:spacing w:line="440" w:lineRule="exact"/>
              <w:jc w:val="center"/>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条款名称</w:t>
            </w:r>
          </w:p>
        </w:tc>
        <w:tc>
          <w:tcPr>
            <w:tcW w:w="4114" w:type="dxa"/>
            <w:vAlign w:val="center"/>
          </w:tcPr>
          <w:p w14:paraId="58C61B38">
            <w:pPr>
              <w:adjustRightInd w:val="0"/>
              <w:spacing w:line="440" w:lineRule="exact"/>
              <w:jc w:val="center"/>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约定内容</w:t>
            </w:r>
          </w:p>
        </w:tc>
        <w:tc>
          <w:tcPr>
            <w:tcW w:w="1020" w:type="dxa"/>
            <w:vAlign w:val="center"/>
          </w:tcPr>
          <w:p w14:paraId="3E602026">
            <w:pPr>
              <w:adjustRightInd w:val="0"/>
              <w:spacing w:line="440" w:lineRule="exact"/>
              <w:jc w:val="center"/>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14:paraId="3249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17" w:type="dxa"/>
            <w:vAlign w:val="center"/>
          </w:tcPr>
          <w:p w14:paraId="196632B2">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675" w:type="dxa"/>
            <w:vAlign w:val="center"/>
          </w:tcPr>
          <w:p w14:paraId="4F795166">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投标总报价（元）</w:t>
            </w:r>
          </w:p>
        </w:tc>
        <w:tc>
          <w:tcPr>
            <w:tcW w:w="4114" w:type="dxa"/>
            <w:vAlign w:val="center"/>
          </w:tcPr>
          <w:p w14:paraId="6569A7FD">
            <w:pPr>
              <w:adjustRightInd w:val="0"/>
              <w:spacing w:line="440" w:lineRule="exact"/>
              <w:textAlignment w:val="baseline"/>
              <w:rPr>
                <w:rFonts w:hint="eastAsia" w:ascii="仿宋" w:hAnsi="仿宋" w:eastAsia="仿宋" w:cs="仿宋"/>
                <w:color w:val="auto"/>
                <w:szCs w:val="21"/>
                <w:highlight w:val="none"/>
                <w:lang w:val="en-US" w:eastAsia="zh-CN"/>
              </w:rPr>
            </w:pPr>
          </w:p>
        </w:tc>
        <w:tc>
          <w:tcPr>
            <w:tcW w:w="1020" w:type="dxa"/>
            <w:vAlign w:val="center"/>
          </w:tcPr>
          <w:p w14:paraId="5B5B7D26">
            <w:pPr>
              <w:adjustRightInd w:val="0"/>
              <w:spacing w:line="440" w:lineRule="exact"/>
              <w:jc w:val="center"/>
              <w:textAlignment w:val="baseline"/>
              <w:rPr>
                <w:rFonts w:hint="eastAsia" w:ascii="仿宋" w:hAnsi="仿宋" w:eastAsia="仿宋" w:cs="仿宋"/>
                <w:color w:val="auto"/>
                <w:szCs w:val="21"/>
                <w:highlight w:val="none"/>
              </w:rPr>
            </w:pPr>
          </w:p>
        </w:tc>
      </w:tr>
      <w:tr w14:paraId="7388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17" w:type="dxa"/>
            <w:vAlign w:val="center"/>
          </w:tcPr>
          <w:p w14:paraId="6C2BFF6E">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2675" w:type="dxa"/>
            <w:vAlign w:val="center"/>
          </w:tcPr>
          <w:p w14:paraId="1C4F8BD5">
            <w:pPr>
              <w:adjustRightInd w:val="0"/>
              <w:spacing w:line="440" w:lineRule="exact"/>
              <w:jc w:val="center"/>
              <w:textAlignment w:val="baseline"/>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标段名称</w:t>
            </w:r>
          </w:p>
        </w:tc>
        <w:tc>
          <w:tcPr>
            <w:tcW w:w="4114" w:type="dxa"/>
            <w:vAlign w:val="center"/>
          </w:tcPr>
          <w:p w14:paraId="2EE25BEE">
            <w:pPr>
              <w:adjustRightInd w:val="0"/>
              <w:spacing w:line="440" w:lineRule="exact"/>
              <w:textAlignment w:val="baseline"/>
              <w:rPr>
                <w:rFonts w:hint="eastAsia" w:ascii="仿宋" w:hAnsi="仿宋" w:eastAsia="仿宋" w:cs="仿宋"/>
                <w:color w:val="auto"/>
                <w:szCs w:val="21"/>
                <w:highlight w:val="none"/>
                <w:lang w:val="en-US" w:eastAsia="zh-CN"/>
              </w:rPr>
            </w:pPr>
          </w:p>
        </w:tc>
        <w:tc>
          <w:tcPr>
            <w:tcW w:w="1020" w:type="dxa"/>
            <w:vAlign w:val="center"/>
          </w:tcPr>
          <w:p w14:paraId="1CBD7C2F">
            <w:pPr>
              <w:adjustRightInd w:val="0"/>
              <w:spacing w:line="440" w:lineRule="exact"/>
              <w:jc w:val="center"/>
              <w:textAlignment w:val="baseline"/>
              <w:rPr>
                <w:rFonts w:hint="eastAsia" w:ascii="仿宋" w:hAnsi="仿宋" w:eastAsia="仿宋" w:cs="仿宋"/>
                <w:color w:val="auto"/>
                <w:szCs w:val="21"/>
                <w:highlight w:val="none"/>
              </w:rPr>
            </w:pPr>
          </w:p>
        </w:tc>
      </w:tr>
      <w:tr w14:paraId="48B9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817" w:type="dxa"/>
            <w:vAlign w:val="center"/>
          </w:tcPr>
          <w:p w14:paraId="0D59AFAA">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c>
          <w:tcPr>
            <w:tcW w:w="2675" w:type="dxa"/>
            <w:vAlign w:val="center"/>
          </w:tcPr>
          <w:p w14:paraId="54A73210">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4114" w:type="dxa"/>
            <w:vAlign w:val="center"/>
          </w:tcPr>
          <w:p w14:paraId="3AFA1951">
            <w:pPr>
              <w:adjustRightInd w:val="0"/>
              <w:spacing w:line="440" w:lineRule="exact"/>
              <w:textAlignment w:val="baseline"/>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姓名：</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6DA6BA67">
            <w:pPr>
              <w:adjustRightInd w:val="0"/>
              <w:spacing w:line="440" w:lineRule="exact"/>
              <w:textAlignment w:val="baseline"/>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注册编号：</w:t>
            </w:r>
            <w:r>
              <w:rPr>
                <w:rFonts w:hint="eastAsia" w:ascii="仿宋" w:hAnsi="仿宋" w:eastAsia="仿宋" w:cs="仿宋"/>
                <w:color w:val="auto"/>
                <w:szCs w:val="21"/>
                <w:highlight w:val="none"/>
                <w:u w:val="single"/>
              </w:rPr>
              <w:t xml:space="preserve">           </w:t>
            </w:r>
          </w:p>
        </w:tc>
        <w:tc>
          <w:tcPr>
            <w:tcW w:w="1020" w:type="dxa"/>
            <w:vAlign w:val="center"/>
          </w:tcPr>
          <w:p w14:paraId="34F6AF2D">
            <w:pPr>
              <w:adjustRightInd w:val="0"/>
              <w:spacing w:line="440" w:lineRule="exact"/>
              <w:jc w:val="center"/>
              <w:textAlignment w:val="baseline"/>
              <w:rPr>
                <w:rFonts w:hint="eastAsia" w:ascii="仿宋" w:hAnsi="仿宋" w:eastAsia="仿宋" w:cs="仿宋"/>
                <w:color w:val="auto"/>
                <w:szCs w:val="21"/>
                <w:highlight w:val="none"/>
              </w:rPr>
            </w:pPr>
          </w:p>
        </w:tc>
      </w:tr>
      <w:tr w14:paraId="378B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17" w:type="dxa"/>
            <w:vAlign w:val="center"/>
          </w:tcPr>
          <w:p w14:paraId="62E6A289">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2675" w:type="dxa"/>
            <w:vAlign w:val="center"/>
          </w:tcPr>
          <w:p w14:paraId="49441652">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4114" w:type="dxa"/>
            <w:vAlign w:val="center"/>
          </w:tcPr>
          <w:p w14:paraId="19248D88">
            <w:pPr>
              <w:adjustRightInd w:val="0"/>
              <w:spacing w:line="440" w:lineRule="exact"/>
              <w:textAlignment w:val="baseline"/>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日历天</w:t>
            </w:r>
          </w:p>
        </w:tc>
        <w:tc>
          <w:tcPr>
            <w:tcW w:w="1020" w:type="dxa"/>
            <w:vAlign w:val="center"/>
          </w:tcPr>
          <w:p w14:paraId="5BE74436">
            <w:pPr>
              <w:adjustRightInd w:val="0"/>
              <w:spacing w:line="440" w:lineRule="exact"/>
              <w:jc w:val="center"/>
              <w:textAlignment w:val="baseline"/>
              <w:rPr>
                <w:rFonts w:hint="eastAsia" w:ascii="仿宋" w:hAnsi="仿宋" w:eastAsia="仿宋" w:cs="仿宋"/>
                <w:color w:val="auto"/>
                <w:szCs w:val="21"/>
                <w:highlight w:val="none"/>
              </w:rPr>
            </w:pPr>
          </w:p>
        </w:tc>
      </w:tr>
      <w:tr w14:paraId="33C4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vAlign w:val="center"/>
          </w:tcPr>
          <w:p w14:paraId="77E2910F">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2675" w:type="dxa"/>
            <w:vAlign w:val="center"/>
          </w:tcPr>
          <w:p w14:paraId="08D1321D">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缺陷责任期</w:t>
            </w:r>
          </w:p>
        </w:tc>
        <w:tc>
          <w:tcPr>
            <w:tcW w:w="4114" w:type="dxa"/>
            <w:vAlign w:val="center"/>
          </w:tcPr>
          <w:p w14:paraId="087FEB3A">
            <w:pPr>
              <w:adjustRightInd w:val="0"/>
              <w:spacing w:line="440" w:lineRule="exact"/>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none"/>
                <w:lang w:val="en-US" w:eastAsia="zh-CN"/>
              </w:rPr>
              <w:t>个</w:t>
            </w:r>
            <w:r>
              <w:rPr>
                <w:rFonts w:hint="eastAsia" w:ascii="仿宋" w:hAnsi="仿宋" w:eastAsia="仿宋" w:cs="仿宋"/>
                <w:color w:val="auto"/>
                <w:szCs w:val="21"/>
                <w:highlight w:val="none"/>
              </w:rPr>
              <w:t>月（自竣工验收合格之日起）</w:t>
            </w:r>
          </w:p>
        </w:tc>
        <w:tc>
          <w:tcPr>
            <w:tcW w:w="1020" w:type="dxa"/>
            <w:vAlign w:val="center"/>
          </w:tcPr>
          <w:p w14:paraId="20DB62B5">
            <w:pPr>
              <w:adjustRightInd w:val="0"/>
              <w:spacing w:line="440" w:lineRule="exact"/>
              <w:jc w:val="center"/>
              <w:textAlignment w:val="baseline"/>
              <w:rPr>
                <w:rFonts w:hint="eastAsia" w:ascii="仿宋" w:hAnsi="仿宋" w:eastAsia="仿宋" w:cs="仿宋"/>
                <w:color w:val="auto"/>
                <w:szCs w:val="21"/>
                <w:highlight w:val="none"/>
              </w:rPr>
            </w:pPr>
          </w:p>
        </w:tc>
      </w:tr>
      <w:tr w14:paraId="1597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17" w:type="dxa"/>
            <w:vAlign w:val="center"/>
          </w:tcPr>
          <w:p w14:paraId="5EA09487">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2675" w:type="dxa"/>
            <w:vAlign w:val="center"/>
          </w:tcPr>
          <w:p w14:paraId="7C76F0AC">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投标有效期</w:t>
            </w:r>
          </w:p>
        </w:tc>
        <w:tc>
          <w:tcPr>
            <w:tcW w:w="4114" w:type="dxa"/>
            <w:vAlign w:val="center"/>
          </w:tcPr>
          <w:p w14:paraId="1605BAF0">
            <w:pPr>
              <w:adjustRightInd w:val="0"/>
              <w:spacing w:line="440" w:lineRule="exact"/>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投标截止日起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日历天</w:t>
            </w:r>
          </w:p>
        </w:tc>
        <w:tc>
          <w:tcPr>
            <w:tcW w:w="1020" w:type="dxa"/>
            <w:vAlign w:val="center"/>
          </w:tcPr>
          <w:p w14:paraId="789B976F">
            <w:pPr>
              <w:adjustRightInd w:val="0"/>
              <w:spacing w:line="440" w:lineRule="exact"/>
              <w:jc w:val="center"/>
              <w:textAlignment w:val="baseline"/>
              <w:rPr>
                <w:rFonts w:hint="eastAsia" w:ascii="仿宋" w:hAnsi="仿宋" w:eastAsia="仿宋" w:cs="仿宋"/>
                <w:color w:val="auto"/>
                <w:szCs w:val="21"/>
                <w:highlight w:val="none"/>
              </w:rPr>
            </w:pPr>
          </w:p>
        </w:tc>
      </w:tr>
      <w:tr w14:paraId="23C7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17" w:type="dxa"/>
            <w:vAlign w:val="center"/>
          </w:tcPr>
          <w:p w14:paraId="590728A0">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7</w:t>
            </w:r>
          </w:p>
        </w:tc>
        <w:tc>
          <w:tcPr>
            <w:tcW w:w="2675" w:type="dxa"/>
            <w:vAlign w:val="center"/>
          </w:tcPr>
          <w:p w14:paraId="4B996D25">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质量</w:t>
            </w:r>
            <w:r>
              <w:rPr>
                <w:rFonts w:hint="eastAsia" w:ascii="仿宋" w:hAnsi="仿宋" w:eastAsia="仿宋" w:cs="仿宋"/>
                <w:color w:val="auto"/>
                <w:szCs w:val="21"/>
                <w:highlight w:val="none"/>
                <w:lang w:val="en-US" w:eastAsia="zh-CN"/>
              </w:rPr>
              <w:t>标准</w:t>
            </w:r>
          </w:p>
        </w:tc>
        <w:tc>
          <w:tcPr>
            <w:tcW w:w="4114" w:type="dxa"/>
            <w:vAlign w:val="center"/>
          </w:tcPr>
          <w:p w14:paraId="00B91622">
            <w:pPr>
              <w:adjustRightInd w:val="0"/>
              <w:spacing w:line="440" w:lineRule="exact"/>
              <w:textAlignment w:val="baseline"/>
              <w:rPr>
                <w:rFonts w:hint="eastAsia" w:ascii="仿宋" w:hAnsi="仿宋" w:eastAsia="仿宋" w:cs="仿宋"/>
                <w:color w:val="auto"/>
                <w:szCs w:val="21"/>
                <w:highlight w:val="none"/>
              </w:rPr>
            </w:pPr>
          </w:p>
        </w:tc>
        <w:tc>
          <w:tcPr>
            <w:tcW w:w="1020" w:type="dxa"/>
            <w:vAlign w:val="center"/>
          </w:tcPr>
          <w:p w14:paraId="24B4E829">
            <w:pPr>
              <w:adjustRightInd w:val="0"/>
              <w:spacing w:line="440" w:lineRule="exact"/>
              <w:jc w:val="center"/>
              <w:textAlignment w:val="baseline"/>
              <w:rPr>
                <w:rFonts w:hint="eastAsia" w:ascii="仿宋" w:hAnsi="仿宋" w:eastAsia="仿宋" w:cs="仿宋"/>
                <w:color w:val="auto"/>
                <w:szCs w:val="21"/>
                <w:highlight w:val="none"/>
              </w:rPr>
            </w:pPr>
          </w:p>
        </w:tc>
      </w:tr>
      <w:tr w14:paraId="59FE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17" w:type="dxa"/>
            <w:vAlign w:val="center"/>
          </w:tcPr>
          <w:p w14:paraId="233A3B38">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p>
        </w:tc>
        <w:tc>
          <w:tcPr>
            <w:tcW w:w="2675" w:type="dxa"/>
            <w:vAlign w:val="center"/>
          </w:tcPr>
          <w:p w14:paraId="0BBD80A9">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安全目标</w:t>
            </w:r>
          </w:p>
        </w:tc>
        <w:tc>
          <w:tcPr>
            <w:tcW w:w="4114" w:type="dxa"/>
            <w:vAlign w:val="center"/>
          </w:tcPr>
          <w:p w14:paraId="2E0B8804">
            <w:pPr>
              <w:adjustRightInd w:val="0"/>
              <w:spacing w:line="440" w:lineRule="exact"/>
              <w:textAlignment w:val="baseline"/>
              <w:rPr>
                <w:rFonts w:hint="eastAsia" w:ascii="仿宋" w:hAnsi="仿宋" w:eastAsia="仿宋" w:cs="仿宋"/>
                <w:color w:val="auto"/>
                <w:szCs w:val="21"/>
                <w:highlight w:val="none"/>
              </w:rPr>
            </w:pPr>
          </w:p>
        </w:tc>
        <w:tc>
          <w:tcPr>
            <w:tcW w:w="1020" w:type="dxa"/>
            <w:vAlign w:val="center"/>
          </w:tcPr>
          <w:p w14:paraId="1FEC821F">
            <w:pPr>
              <w:adjustRightInd w:val="0"/>
              <w:spacing w:line="440" w:lineRule="exact"/>
              <w:jc w:val="center"/>
              <w:textAlignment w:val="baseline"/>
              <w:rPr>
                <w:rFonts w:hint="eastAsia" w:ascii="仿宋" w:hAnsi="仿宋" w:eastAsia="仿宋" w:cs="仿宋"/>
                <w:color w:val="auto"/>
                <w:szCs w:val="21"/>
                <w:highlight w:val="none"/>
              </w:rPr>
            </w:pPr>
          </w:p>
        </w:tc>
      </w:tr>
      <w:tr w14:paraId="3333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7" w:type="dxa"/>
            <w:vAlign w:val="center"/>
          </w:tcPr>
          <w:p w14:paraId="3826BFF8">
            <w:pPr>
              <w:adjustRightInd w:val="0"/>
              <w:spacing w:line="440" w:lineRule="exact"/>
              <w:jc w:val="center"/>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9</w:t>
            </w:r>
          </w:p>
        </w:tc>
        <w:tc>
          <w:tcPr>
            <w:tcW w:w="2675" w:type="dxa"/>
            <w:vAlign w:val="center"/>
          </w:tcPr>
          <w:p w14:paraId="18F30026">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文明工地</w:t>
            </w:r>
            <w:r>
              <w:rPr>
                <w:rFonts w:hint="eastAsia" w:ascii="仿宋" w:hAnsi="仿宋" w:eastAsia="仿宋" w:cs="仿宋"/>
                <w:color w:val="auto"/>
                <w:szCs w:val="21"/>
                <w:highlight w:val="none"/>
                <w:lang w:val="en-US" w:eastAsia="zh-CN"/>
              </w:rPr>
              <w:t>目标</w:t>
            </w:r>
          </w:p>
        </w:tc>
        <w:tc>
          <w:tcPr>
            <w:tcW w:w="4114" w:type="dxa"/>
            <w:vAlign w:val="center"/>
          </w:tcPr>
          <w:p w14:paraId="7B9B37A8">
            <w:pPr>
              <w:adjustRightInd w:val="0"/>
              <w:spacing w:line="440" w:lineRule="exact"/>
              <w:textAlignment w:val="baseline"/>
              <w:rPr>
                <w:rFonts w:hint="eastAsia" w:ascii="仿宋" w:hAnsi="仿宋" w:eastAsia="仿宋" w:cs="仿宋"/>
                <w:color w:val="auto"/>
                <w:szCs w:val="21"/>
                <w:highlight w:val="none"/>
              </w:rPr>
            </w:pPr>
          </w:p>
        </w:tc>
        <w:tc>
          <w:tcPr>
            <w:tcW w:w="1020" w:type="dxa"/>
            <w:vAlign w:val="center"/>
          </w:tcPr>
          <w:p w14:paraId="76046442">
            <w:pPr>
              <w:adjustRightInd w:val="0"/>
              <w:spacing w:line="440" w:lineRule="exact"/>
              <w:jc w:val="center"/>
              <w:textAlignment w:val="baseline"/>
              <w:rPr>
                <w:rFonts w:hint="eastAsia" w:ascii="仿宋" w:hAnsi="仿宋" w:eastAsia="仿宋" w:cs="仿宋"/>
                <w:color w:val="auto"/>
                <w:szCs w:val="21"/>
                <w:highlight w:val="none"/>
              </w:rPr>
            </w:pPr>
          </w:p>
        </w:tc>
      </w:tr>
      <w:tr w14:paraId="77CB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17" w:type="dxa"/>
            <w:vAlign w:val="center"/>
          </w:tcPr>
          <w:p w14:paraId="137E5593">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2675" w:type="dxa"/>
            <w:vAlign w:val="center"/>
          </w:tcPr>
          <w:p w14:paraId="2A937B90">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扬尘</w:t>
            </w:r>
            <w:r>
              <w:rPr>
                <w:rFonts w:hint="eastAsia" w:ascii="仿宋" w:hAnsi="仿宋" w:eastAsia="仿宋" w:cs="仿宋"/>
                <w:color w:val="auto"/>
                <w:szCs w:val="21"/>
                <w:highlight w:val="none"/>
                <w:lang w:val="en-US" w:eastAsia="zh-CN"/>
              </w:rPr>
              <w:t>防治</w:t>
            </w:r>
            <w:r>
              <w:rPr>
                <w:rFonts w:hint="eastAsia" w:ascii="仿宋" w:hAnsi="仿宋" w:eastAsia="仿宋" w:cs="仿宋"/>
                <w:color w:val="auto"/>
                <w:szCs w:val="21"/>
                <w:highlight w:val="none"/>
              </w:rPr>
              <w:t>目标</w:t>
            </w:r>
          </w:p>
        </w:tc>
        <w:tc>
          <w:tcPr>
            <w:tcW w:w="4114" w:type="dxa"/>
            <w:vAlign w:val="center"/>
          </w:tcPr>
          <w:p w14:paraId="770D38C5">
            <w:pPr>
              <w:adjustRightInd w:val="0"/>
              <w:spacing w:line="440" w:lineRule="exact"/>
              <w:textAlignment w:val="baseline"/>
              <w:rPr>
                <w:rFonts w:hint="eastAsia" w:ascii="仿宋" w:hAnsi="仿宋" w:eastAsia="仿宋" w:cs="仿宋"/>
                <w:color w:val="auto"/>
                <w:szCs w:val="21"/>
                <w:highlight w:val="none"/>
              </w:rPr>
            </w:pPr>
          </w:p>
        </w:tc>
        <w:tc>
          <w:tcPr>
            <w:tcW w:w="1020" w:type="dxa"/>
            <w:vAlign w:val="center"/>
          </w:tcPr>
          <w:p w14:paraId="0C150F31">
            <w:pPr>
              <w:adjustRightInd w:val="0"/>
              <w:spacing w:line="440" w:lineRule="exact"/>
              <w:jc w:val="center"/>
              <w:textAlignment w:val="baseline"/>
              <w:rPr>
                <w:rFonts w:hint="eastAsia" w:ascii="仿宋" w:hAnsi="仿宋" w:eastAsia="仿宋" w:cs="仿宋"/>
                <w:color w:val="auto"/>
                <w:szCs w:val="21"/>
                <w:highlight w:val="none"/>
              </w:rPr>
            </w:pPr>
          </w:p>
        </w:tc>
      </w:tr>
      <w:tr w14:paraId="3CE1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17" w:type="dxa"/>
            <w:vAlign w:val="center"/>
          </w:tcPr>
          <w:p w14:paraId="60C4F78E">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2675" w:type="dxa"/>
            <w:vAlign w:val="center"/>
          </w:tcPr>
          <w:p w14:paraId="6F56211A">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变更签证</w:t>
            </w:r>
            <w:r>
              <w:rPr>
                <w:rFonts w:hint="eastAsia" w:ascii="仿宋" w:hAnsi="仿宋" w:eastAsia="仿宋" w:cs="仿宋"/>
                <w:color w:val="auto"/>
                <w:szCs w:val="21"/>
                <w:highlight w:val="none"/>
                <w:lang w:val="en-US" w:eastAsia="zh-CN"/>
              </w:rPr>
              <w:t>优惠率</w:t>
            </w:r>
          </w:p>
        </w:tc>
        <w:tc>
          <w:tcPr>
            <w:tcW w:w="4114" w:type="dxa"/>
            <w:vAlign w:val="center"/>
          </w:tcPr>
          <w:p w14:paraId="4271E865">
            <w:pPr>
              <w:adjustRightInd w:val="0"/>
              <w:spacing w:line="440" w:lineRule="exact"/>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w:t>
            </w:r>
          </w:p>
        </w:tc>
        <w:tc>
          <w:tcPr>
            <w:tcW w:w="1020" w:type="dxa"/>
            <w:vAlign w:val="center"/>
          </w:tcPr>
          <w:p w14:paraId="1B783DC4">
            <w:pPr>
              <w:adjustRightInd w:val="0"/>
              <w:spacing w:line="440" w:lineRule="exact"/>
              <w:jc w:val="center"/>
              <w:textAlignment w:val="baseline"/>
              <w:rPr>
                <w:rFonts w:hint="eastAsia" w:ascii="仿宋" w:hAnsi="仿宋" w:eastAsia="仿宋" w:cs="仿宋"/>
                <w:color w:val="auto"/>
                <w:szCs w:val="21"/>
                <w:highlight w:val="none"/>
              </w:rPr>
            </w:pPr>
          </w:p>
        </w:tc>
      </w:tr>
      <w:tr w14:paraId="7EF5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17" w:type="dxa"/>
            <w:vAlign w:val="center"/>
          </w:tcPr>
          <w:p w14:paraId="19EB65C0">
            <w:pPr>
              <w:adjustRightInd w:val="0"/>
              <w:spacing w:line="440" w:lineRule="exact"/>
              <w:jc w:val="center"/>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2675" w:type="dxa"/>
            <w:vAlign w:val="center"/>
          </w:tcPr>
          <w:p w14:paraId="322E1523">
            <w:pPr>
              <w:adjustRightInd w:val="0"/>
              <w:spacing w:line="440" w:lineRule="exact"/>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是否接受本项目</w:t>
            </w:r>
            <w:r>
              <w:rPr>
                <w:rFonts w:hint="eastAsia" w:ascii="仿宋" w:hAnsi="仿宋" w:eastAsia="仿宋" w:cs="仿宋"/>
                <w:color w:val="auto"/>
                <w:szCs w:val="21"/>
                <w:highlight w:val="none"/>
              </w:rPr>
              <w:t>付款方式</w:t>
            </w:r>
          </w:p>
        </w:tc>
        <w:tc>
          <w:tcPr>
            <w:tcW w:w="4114" w:type="dxa"/>
            <w:vAlign w:val="center"/>
          </w:tcPr>
          <w:p w14:paraId="1F7E395D">
            <w:pPr>
              <w:adjustRightInd w:val="0"/>
              <w:spacing w:line="440" w:lineRule="exact"/>
              <w:textAlignment w:val="baseline"/>
              <w:rPr>
                <w:rFonts w:hint="eastAsia" w:ascii="仿宋" w:hAnsi="仿宋" w:eastAsia="仿宋" w:cs="仿宋"/>
                <w:color w:val="auto"/>
                <w:szCs w:val="21"/>
                <w:highlight w:val="none"/>
              </w:rPr>
            </w:pPr>
          </w:p>
        </w:tc>
        <w:tc>
          <w:tcPr>
            <w:tcW w:w="1020" w:type="dxa"/>
            <w:vAlign w:val="center"/>
          </w:tcPr>
          <w:p w14:paraId="05FD85DE">
            <w:pPr>
              <w:adjustRightInd w:val="0"/>
              <w:spacing w:line="440" w:lineRule="exact"/>
              <w:jc w:val="center"/>
              <w:textAlignment w:val="baseline"/>
              <w:rPr>
                <w:rFonts w:hint="eastAsia" w:ascii="仿宋" w:hAnsi="仿宋" w:eastAsia="仿宋" w:cs="仿宋"/>
                <w:color w:val="auto"/>
                <w:szCs w:val="21"/>
                <w:highlight w:val="none"/>
              </w:rPr>
            </w:pPr>
          </w:p>
        </w:tc>
      </w:tr>
    </w:tbl>
    <w:p w14:paraId="2D728583">
      <w:pPr>
        <w:rPr>
          <w:rFonts w:ascii="宋体" w:hAnsi="宋体" w:eastAsia="宋体" w:cs="宋体"/>
          <w:color w:val="auto"/>
          <w:highlight w:val="none"/>
        </w:rPr>
      </w:pPr>
    </w:p>
    <w:p w14:paraId="6C5FFBF8">
      <w:pPr>
        <w:rPr>
          <w:rFonts w:hint="eastAsia" w:ascii="仿宋" w:hAnsi="仿宋" w:eastAsia="仿宋" w:cs="仿宋"/>
          <w:color w:val="auto"/>
          <w:highlight w:val="none"/>
        </w:rPr>
      </w:pPr>
    </w:p>
    <w:p w14:paraId="2FF3AD0A">
      <w:pPr>
        <w:rPr>
          <w:rFonts w:hint="eastAsia" w:ascii="仿宋" w:hAnsi="仿宋" w:eastAsia="仿宋" w:cs="仿宋"/>
          <w:color w:val="auto"/>
          <w:highlight w:val="none"/>
        </w:rPr>
      </w:pPr>
    </w:p>
    <w:p w14:paraId="45A8B14F">
      <w:pPr>
        <w:spacing w:line="440" w:lineRule="exact"/>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w:t>
      </w:r>
    </w:p>
    <w:p w14:paraId="7D68D058">
      <w:pPr>
        <w:spacing w:line="440" w:lineRule="exact"/>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（签字或盖电子章）</w:t>
      </w:r>
    </w:p>
    <w:p w14:paraId="480BF2A3">
      <w:pPr>
        <w:spacing w:line="440" w:lineRule="exact"/>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B8700C3">
      <w:pPr>
        <w:pStyle w:val="35"/>
        <w:spacing w:before="156"/>
        <w:jc w:val="center"/>
        <w:rPr>
          <w:rFonts w:hint="eastAsia" w:ascii="仿宋" w:hAnsi="仿宋" w:cs="仿宋"/>
          <w:b/>
          <w:color w:val="auto"/>
          <w:sz w:val="32"/>
          <w:highlight w:val="none"/>
        </w:rPr>
      </w:pPr>
      <w:bookmarkStart w:id="561" w:name="_Toc152042580"/>
      <w:bookmarkStart w:id="562" w:name="_Toc144974860"/>
      <w:bookmarkStart w:id="563" w:name="_Toc8423604"/>
      <w:bookmarkStart w:id="564" w:name="_Toc152045791"/>
      <w:bookmarkStart w:id="565" w:name="_Toc38209190"/>
      <w:r>
        <w:rPr>
          <w:rFonts w:hint="eastAsia" w:ascii="仿宋" w:hAnsi="仿宋" w:cs="仿宋"/>
          <w:b/>
          <w:color w:val="auto"/>
          <w:sz w:val="32"/>
          <w:highlight w:val="none"/>
        </w:rPr>
        <w:br w:type="page"/>
      </w:r>
      <w:bookmarkStart w:id="566" w:name="_Toc12033"/>
      <w:bookmarkStart w:id="567" w:name="_Toc17224"/>
      <w:bookmarkStart w:id="568" w:name="_Toc29361"/>
      <w:r>
        <w:rPr>
          <w:rFonts w:hint="eastAsia" w:ascii="仿宋" w:hAnsi="仿宋" w:cs="仿宋"/>
          <w:b/>
          <w:color w:val="auto"/>
          <w:sz w:val="32"/>
          <w:highlight w:val="none"/>
        </w:rPr>
        <w:t>二、法定代表人身份证明</w:t>
      </w:r>
      <w:bookmarkEnd w:id="561"/>
      <w:bookmarkEnd w:id="562"/>
      <w:bookmarkEnd w:id="563"/>
      <w:bookmarkEnd w:id="564"/>
      <w:r>
        <w:rPr>
          <w:rFonts w:hint="eastAsia" w:ascii="仿宋" w:hAnsi="仿宋" w:cs="仿宋"/>
          <w:b/>
          <w:color w:val="auto"/>
          <w:sz w:val="32"/>
          <w:highlight w:val="none"/>
        </w:rPr>
        <w:t>及授权委托书</w:t>
      </w:r>
      <w:bookmarkEnd w:id="565"/>
      <w:bookmarkEnd w:id="566"/>
      <w:bookmarkEnd w:id="567"/>
      <w:bookmarkEnd w:id="568"/>
    </w:p>
    <w:p w14:paraId="118C1603">
      <w:pPr>
        <w:pStyle w:val="54"/>
        <w:rPr>
          <w:rFonts w:hint="eastAsia" w:cs="Times New Roman"/>
          <w:color w:val="auto"/>
          <w:highlight w:val="none"/>
        </w:rPr>
      </w:pPr>
      <w:bookmarkStart w:id="569" w:name="_Toc38209191"/>
    </w:p>
    <w:p w14:paraId="113369FF">
      <w:pPr>
        <w:pStyle w:val="52"/>
        <w:spacing w:before="156" w:beforeLines="50" w:line="360" w:lineRule="auto"/>
        <w:jc w:val="center"/>
        <w:rPr>
          <w:rFonts w:hint="eastAsia" w:ascii="仿宋" w:hAnsi="仿宋" w:eastAsia="仿宋" w:cs="仿宋"/>
          <w:b/>
          <w:color w:val="auto"/>
          <w:szCs w:val="23"/>
          <w:highlight w:val="none"/>
        </w:rPr>
      </w:pPr>
      <w:bookmarkStart w:id="570" w:name="_Toc16979"/>
      <w:bookmarkStart w:id="571" w:name="_Toc106712902"/>
      <w:bookmarkStart w:id="572" w:name="_Toc13485"/>
      <w:bookmarkStart w:id="573" w:name="_Toc16889"/>
      <w:r>
        <w:rPr>
          <w:rFonts w:hint="eastAsia" w:ascii="仿宋" w:hAnsi="仿宋" w:eastAsia="仿宋" w:cs="仿宋"/>
          <w:b/>
          <w:color w:val="auto"/>
          <w:szCs w:val="23"/>
          <w:highlight w:val="none"/>
        </w:rPr>
        <w:t>（一）法定代表人身份证明</w:t>
      </w:r>
      <w:bookmarkEnd w:id="569"/>
      <w:bookmarkEnd w:id="570"/>
      <w:bookmarkEnd w:id="571"/>
      <w:bookmarkEnd w:id="572"/>
      <w:bookmarkEnd w:id="573"/>
    </w:p>
    <w:p w14:paraId="76E1BB90">
      <w:pPr>
        <w:spacing w:line="440" w:lineRule="exact"/>
        <w:rPr>
          <w:rFonts w:hint="eastAsia" w:ascii="仿宋" w:hAnsi="仿宋" w:eastAsia="仿宋" w:cs="仿宋"/>
          <w:color w:val="auto"/>
          <w:sz w:val="20"/>
          <w:szCs w:val="20"/>
          <w:highlight w:val="none"/>
        </w:rPr>
      </w:pPr>
    </w:p>
    <w:p w14:paraId="3BAB84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686006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单位性质：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4C168F3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p>
    <w:p w14:paraId="550E7F3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w:t>
      </w:r>
    </w:p>
    <w:p w14:paraId="7F8450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经营期限：</w:t>
      </w:r>
      <w:r>
        <w:rPr>
          <w:rFonts w:hint="eastAsia" w:ascii="仿宋" w:hAnsi="仿宋" w:eastAsia="仿宋" w:cs="仿宋"/>
          <w:color w:val="auto"/>
          <w:sz w:val="24"/>
          <w:highlight w:val="none"/>
          <w:u w:val="single"/>
        </w:rPr>
        <w:t xml:space="preserve">                               </w:t>
      </w:r>
    </w:p>
    <w:p w14:paraId="0D624B2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性别：</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职务：</w:t>
      </w:r>
      <w:r>
        <w:rPr>
          <w:rFonts w:hint="eastAsia" w:ascii="仿宋" w:hAnsi="仿宋" w:eastAsia="仿宋" w:cs="仿宋"/>
          <w:color w:val="auto"/>
          <w:sz w:val="24"/>
          <w:highlight w:val="none"/>
          <w:u w:val="single"/>
        </w:rPr>
        <w:t xml:space="preserve">        </w:t>
      </w:r>
    </w:p>
    <w:p w14:paraId="7A4ADF8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（投标人名称）的法定代表人。</w:t>
      </w:r>
    </w:p>
    <w:p w14:paraId="5A0418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ACC335F">
      <w:pPr>
        <w:spacing w:line="440" w:lineRule="exact"/>
        <w:rPr>
          <w:rFonts w:hint="eastAsia" w:ascii="仿宋" w:hAnsi="仿宋" w:eastAsia="仿宋" w:cs="仿宋"/>
          <w:color w:val="auto"/>
          <w:sz w:val="24"/>
          <w:highlight w:val="none"/>
        </w:rPr>
      </w:pPr>
    </w:p>
    <w:p w14:paraId="027E49C9">
      <w:pPr>
        <w:spacing w:line="440" w:lineRule="exact"/>
        <w:rPr>
          <w:rFonts w:hint="eastAsia" w:ascii="仿宋" w:hAnsi="仿宋" w:eastAsia="仿宋" w:cs="仿宋"/>
          <w:color w:val="auto"/>
          <w:sz w:val="24"/>
          <w:highlight w:val="none"/>
        </w:rPr>
      </w:pPr>
    </w:p>
    <w:p w14:paraId="1B0E2B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w:t>
      </w:r>
    </w:p>
    <w:p w14:paraId="32CCB6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日           </w:t>
      </w:r>
    </w:p>
    <w:p w14:paraId="5F87942C">
      <w:pPr>
        <w:spacing w:line="440" w:lineRule="exact"/>
        <w:rPr>
          <w:rFonts w:hint="eastAsia" w:ascii="仿宋" w:hAnsi="仿宋" w:eastAsia="仿宋" w:cs="仿宋"/>
          <w:color w:val="auto"/>
          <w:sz w:val="20"/>
          <w:szCs w:val="20"/>
          <w:highlight w:val="none"/>
        </w:rPr>
      </w:pPr>
      <w:r>
        <w:rPr>
          <w:rFonts w:ascii="仿宋" w:hAnsi="仿宋" w:eastAsia="仿宋" w:cs="仿宋"/>
          <w:color w:val="auto"/>
          <w:sz w:val="20"/>
          <w:szCs w:val="20"/>
          <w:highlight w:val="none"/>
        </w:rPr>
        <w:br w:type="page"/>
      </w:r>
    </w:p>
    <w:p w14:paraId="4012614E">
      <w:pPr>
        <w:pStyle w:val="52"/>
        <w:spacing w:before="156" w:beforeLines="50" w:line="360" w:lineRule="auto"/>
        <w:jc w:val="center"/>
        <w:rPr>
          <w:rFonts w:hint="eastAsia" w:ascii="仿宋" w:hAnsi="仿宋" w:eastAsia="仿宋" w:cs="仿宋"/>
          <w:b/>
          <w:color w:val="auto"/>
          <w:szCs w:val="23"/>
          <w:highlight w:val="none"/>
        </w:rPr>
      </w:pPr>
      <w:bookmarkStart w:id="574" w:name="_Toc4054"/>
      <w:bookmarkStart w:id="575" w:name="_Toc144974861"/>
      <w:bookmarkStart w:id="576" w:name="_Toc38209192"/>
      <w:bookmarkStart w:id="577" w:name="_Toc23509"/>
      <w:bookmarkStart w:id="578" w:name="_Toc8423605"/>
      <w:bookmarkStart w:id="579" w:name="_Toc152045792"/>
      <w:bookmarkStart w:id="580" w:name="_Toc152042581"/>
      <w:bookmarkStart w:id="581" w:name="_Toc106712903"/>
      <w:bookmarkStart w:id="582" w:name="_Toc3629"/>
      <w:r>
        <w:rPr>
          <w:rFonts w:hint="eastAsia" w:ascii="仿宋" w:hAnsi="仿宋" w:eastAsia="仿宋" w:cs="仿宋"/>
          <w:b/>
          <w:color w:val="auto"/>
          <w:szCs w:val="23"/>
          <w:highlight w:val="none"/>
        </w:rPr>
        <w:t>（二）授权委托书</w:t>
      </w:r>
      <w:bookmarkEnd w:id="574"/>
      <w:bookmarkEnd w:id="575"/>
      <w:bookmarkEnd w:id="576"/>
      <w:bookmarkEnd w:id="577"/>
      <w:bookmarkEnd w:id="578"/>
      <w:bookmarkEnd w:id="579"/>
      <w:bookmarkEnd w:id="580"/>
      <w:bookmarkEnd w:id="581"/>
      <w:bookmarkEnd w:id="582"/>
    </w:p>
    <w:p w14:paraId="123CD713">
      <w:pPr>
        <w:spacing w:line="440" w:lineRule="exact"/>
        <w:rPr>
          <w:rFonts w:hint="eastAsia" w:ascii="仿宋" w:hAnsi="仿宋" w:eastAsia="仿宋" w:cs="仿宋"/>
          <w:color w:val="auto"/>
          <w:szCs w:val="21"/>
          <w:highlight w:val="none"/>
        </w:rPr>
      </w:pPr>
    </w:p>
    <w:p w14:paraId="56EDD26B">
      <w:pPr>
        <w:topLinePunct/>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（姓名）系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（投标人名称）的法定代表人，现委托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（手机号码）为我方代理人。代理人根据授权，以我方名义签署、澄清、说明、补正、递交、撤回、修改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标段</w:t>
      </w:r>
      <w:r>
        <w:rPr>
          <w:rFonts w:hint="eastAsia" w:ascii="仿宋" w:hAnsi="仿宋" w:eastAsia="仿宋" w:cs="仿宋"/>
          <w:color w:val="auto"/>
          <w:sz w:val="24"/>
          <w:highlight w:val="none"/>
        </w:rPr>
        <w:t>投标文件、签订合同和处理有关事宜，其法律后果由我方承担。</w:t>
      </w:r>
    </w:p>
    <w:p w14:paraId="1E9A8D1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委托期限：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E622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代理人无转委托权。</w:t>
      </w:r>
    </w:p>
    <w:p w14:paraId="0BACA4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附：法定代表人身份证原件扫描件、委托代理人身份证原件扫描件（扫描件需双面扫描）</w:t>
      </w:r>
    </w:p>
    <w:p w14:paraId="6157CEC0">
      <w:pPr>
        <w:spacing w:line="440" w:lineRule="exact"/>
        <w:rPr>
          <w:rFonts w:hint="eastAsia" w:ascii="仿宋" w:hAnsi="仿宋" w:eastAsia="仿宋" w:cs="仿宋"/>
          <w:color w:val="auto"/>
          <w:sz w:val="24"/>
          <w:highlight w:val="none"/>
        </w:rPr>
      </w:pPr>
    </w:p>
    <w:p w14:paraId="65ABA6CD">
      <w:pPr>
        <w:spacing w:line="440" w:lineRule="exact"/>
        <w:rPr>
          <w:rFonts w:hint="eastAsia" w:ascii="仿宋" w:hAnsi="仿宋" w:eastAsia="仿宋" w:cs="仿宋"/>
          <w:color w:val="auto"/>
          <w:sz w:val="24"/>
          <w:highlight w:val="none"/>
        </w:rPr>
      </w:pPr>
    </w:p>
    <w:p w14:paraId="7F184D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w:t>
      </w:r>
    </w:p>
    <w:p w14:paraId="48FC7B7F">
      <w:pPr>
        <w:spacing w:line="440" w:lineRule="exact"/>
        <w:rPr>
          <w:rFonts w:hint="eastAsia" w:ascii="仿宋" w:hAnsi="仿宋" w:eastAsia="仿宋" w:cs="仿宋"/>
          <w:color w:val="auto"/>
          <w:sz w:val="24"/>
          <w:highlight w:val="none"/>
        </w:rPr>
      </w:pPr>
    </w:p>
    <w:p w14:paraId="5DF3F9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（签字或盖电子章）</w:t>
      </w:r>
    </w:p>
    <w:p w14:paraId="742DEBA5">
      <w:pPr>
        <w:spacing w:line="440" w:lineRule="exact"/>
        <w:rPr>
          <w:rFonts w:hint="eastAsia" w:ascii="仿宋" w:hAnsi="仿宋" w:eastAsia="仿宋" w:cs="仿宋"/>
          <w:color w:val="auto"/>
          <w:sz w:val="24"/>
          <w:highlight w:val="none"/>
        </w:rPr>
      </w:pPr>
    </w:p>
    <w:p w14:paraId="0283B8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法人身份证号码：</w:t>
      </w:r>
      <w:r>
        <w:rPr>
          <w:rFonts w:hint="eastAsia" w:ascii="仿宋" w:hAnsi="仿宋" w:eastAsia="仿宋" w:cs="仿宋"/>
          <w:color w:val="auto"/>
          <w:sz w:val="24"/>
          <w:highlight w:val="none"/>
          <w:u w:val="single"/>
        </w:rPr>
        <w:t xml:space="preserve">                                     </w:t>
      </w:r>
    </w:p>
    <w:p w14:paraId="2EB7C74E">
      <w:pPr>
        <w:spacing w:line="440" w:lineRule="exact"/>
        <w:rPr>
          <w:rFonts w:hint="eastAsia" w:ascii="仿宋" w:hAnsi="仿宋" w:eastAsia="仿宋" w:cs="仿宋"/>
          <w:color w:val="auto"/>
          <w:sz w:val="24"/>
          <w:highlight w:val="none"/>
        </w:rPr>
      </w:pPr>
    </w:p>
    <w:p w14:paraId="3C4E6D1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（签字或盖电子章）</w:t>
      </w:r>
    </w:p>
    <w:p w14:paraId="4AF180AF">
      <w:pPr>
        <w:spacing w:line="440" w:lineRule="exact"/>
        <w:rPr>
          <w:rFonts w:hint="eastAsia" w:ascii="仿宋" w:hAnsi="仿宋" w:eastAsia="仿宋" w:cs="仿宋"/>
          <w:color w:val="auto"/>
          <w:sz w:val="24"/>
          <w:highlight w:val="none"/>
        </w:rPr>
      </w:pPr>
    </w:p>
    <w:p w14:paraId="0DB3D2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委托人身份证号码：</w:t>
      </w:r>
      <w:r>
        <w:rPr>
          <w:rFonts w:hint="eastAsia" w:ascii="仿宋" w:hAnsi="仿宋" w:eastAsia="仿宋" w:cs="仿宋"/>
          <w:color w:val="auto"/>
          <w:sz w:val="24"/>
          <w:highlight w:val="none"/>
          <w:u w:val="single"/>
        </w:rPr>
        <w:t xml:space="preserve">                                      </w:t>
      </w:r>
    </w:p>
    <w:p w14:paraId="27E2D89D">
      <w:pPr>
        <w:spacing w:line="440" w:lineRule="exact"/>
        <w:rPr>
          <w:rFonts w:hint="eastAsia" w:ascii="仿宋" w:hAnsi="仿宋" w:eastAsia="仿宋" w:cs="仿宋"/>
          <w:color w:val="auto"/>
          <w:sz w:val="24"/>
          <w:highlight w:val="none"/>
        </w:rPr>
      </w:pPr>
    </w:p>
    <w:p w14:paraId="3363C629">
      <w:pPr>
        <w:spacing w:line="440" w:lineRule="exact"/>
        <w:rPr>
          <w:rFonts w:hint="eastAsia" w:ascii="仿宋" w:hAnsi="仿宋" w:eastAsia="仿宋" w:cs="仿宋"/>
          <w:color w:val="auto"/>
          <w:sz w:val="24"/>
          <w:highlight w:val="none"/>
        </w:rPr>
      </w:pPr>
    </w:p>
    <w:p w14:paraId="5C483173">
      <w:pPr>
        <w:spacing w:line="440" w:lineRule="exact"/>
        <w:ind w:firstLine="2640" w:firstLineChars="11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7211894">
      <w:pPr>
        <w:spacing w:line="400" w:lineRule="exact"/>
        <w:rPr>
          <w:rFonts w:hint="eastAsia" w:ascii="仿宋" w:hAnsi="仿宋" w:eastAsia="仿宋" w:cs="仿宋"/>
          <w:color w:val="auto"/>
          <w:sz w:val="20"/>
          <w:szCs w:val="20"/>
          <w:highlight w:val="none"/>
        </w:rPr>
      </w:pPr>
    </w:p>
    <w:p w14:paraId="1FDF7C8A">
      <w:pPr>
        <w:spacing w:line="400" w:lineRule="exact"/>
        <w:rPr>
          <w:rFonts w:hint="eastAsia" w:ascii="仿宋" w:hAnsi="仿宋" w:eastAsia="仿宋" w:cs="仿宋"/>
          <w:color w:val="auto"/>
          <w:highlight w:val="none"/>
        </w:rPr>
      </w:pPr>
      <w:r>
        <w:rPr>
          <w:rFonts w:ascii="仿宋" w:hAnsi="仿宋" w:eastAsia="仿宋" w:cs="仿宋"/>
          <w:color w:val="auto"/>
          <w:highlight w:val="none"/>
        </w:rPr>
        <w:br w:type="page"/>
      </w:r>
    </w:p>
    <w:p w14:paraId="73252FFE">
      <w:pPr>
        <w:pStyle w:val="35"/>
        <w:spacing w:before="156"/>
        <w:jc w:val="center"/>
        <w:rPr>
          <w:rFonts w:hint="eastAsia" w:ascii="仿宋" w:hAnsi="仿宋" w:cs="仿宋"/>
          <w:b/>
          <w:color w:val="auto"/>
          <w:sz w:val="32"/>
          <w:highlight w:val="none"/>
        </w:rPr>
      </w:pPr>
      <w:bookmarkStart w:id="583" w:name="_Toc144974862"/>
      <w:bookmarkStart w:id="584" w:name="_Toc152042583"/>
      <w:bookmarkStart w:id="585" w:name="_Toc8423607"/>
      <w:bookmarkStart w:id="586" w:name="_Toc152045794"/>
      <w:bookmarkStart w:id="587" w:name="_Toc38209193"/>
      <w:bookmarkStart w:id="588" w:name="_Toc3919"/>
      <w:bookmarkStart w:id="589" w:name="_Toc359"/>
      <w:bookmarkStart w:id="590" w:name="_Toc12546"/>
      <w:r>
        <w:rPr>
          <w:rFonts w:hint="eastAsia" w:ascii="仿宋" w:hAnsi="仿宋" w:cs="仿宋"/>
          <w:b/>
          <w:color w:val="auto"/>
          <w:sz w:val="32"/>
          <w:highlight w:val="none"/>
        </w:rPr>
        <w:t>三、</w:t>
      </w:r>
      <w:bookmarkEnd w:id="583"/>
      <w:bookmarkEnd w:id="584"/>
      <w:bookmarkEnd w:id="585"/>
      <w:bookmarkEnd w:id="586"/>
      <w:bookmarkEnd w:id="587"/>
      <w:r>
        <w:rPr>
          <w:rFonts w:hint="eastAsia" w:ascii="仿宋" w:hAnsi="仿宋" w:cs="仿宋"/>
          <w:b/>
          <w:color w:val="auto"/>
          <w:sz w:val="32"/>
          <w:highlight w:val="none"/>
        </w:rPr>
        <w:t>投标承诺书</w:t>
      </w:r>
      <w:bookmarkEnd w:id="588"/>
      <w:bookmarkEnd w:id="589"/>
      <w:bookmarkEnd w:id="590"/>
    </w:p>
    <w:p w14:paraId="2FB71FD2">
      <w:pPr>
        <w:spacing w:line="360" w:lineRule="auto"/>
        <w:ind w:firstLine="476" w:firstLineChars="200"/>
        <w:rPr>
          <w:rFonts w:hint="eastAsia" w:ascii="仿宋" w:hAnsi="仿宋" w:eastAsia="仿宋" w:cs="仿宋"/>
          <w:color w:val="auto"/>
          <w:spacing w:val="14"/>
          <w:szCs w:val="21"/>
          <w:highlight w:val="none"/>
        </w:rPr>
      </w:pPr>
      <w:bookmarkStart w:id="591" w:name="_Toc24836"/>
      <w:bookmarkStart w:id="592" w:name="_Toc24120236"/>
    </w:p>
    <w:p w14:paraId="1D3CB879">
      <w:pPr>
        <w:spacing w:line="360" w:lineRule="auto"/>
        <w:ind w:firstLine="536" w:firstLineChars="200"/>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我单位现对</w:t>
      </w:r>
      <w:r>
        <w:rPr>
          <w:rFonts w:hint="eastAsia" w:ascii="仿宋" w:hAnsi="仿宋" w:eastAsia="仿宋" w:cs="仿宋"/>
          <w:color w:val="auto"/>
          <w:spacing w:val="14"/>
          <w:sz w:val="24"/>
          <w:highlight w:val="none"/>
          <w:u w:val="single"/>
        </w:rPr>
        <w:t xml:space="preserve">                     </w:t>
      </w:r>
      <w:r>
        <w:rPr>
          <w:rFonts w:hint="eastAsia" w:ascii="仿宋" w:hAnsi="仿宋" w:eastAsia="仿宋" w:cs="仿宋"/>
          <w:color w:val="auto"/>
          <w:spacing w:val="14"/>
          <w:sz w:val="24"/>
          <w:highlight w:val="none"/>
        </w:rPr>
        <w:t>(项目名称）投标做出如下郑重承诺:</w:t>
      </w:r>
    </w:p>
    <w:p w14:paraId="4B93F3A5">
      <w:pPr>
        <w:spacing w:line="360" w:lineRule="auto"/>
        <w:ind w:firstLine="536" w:firstLineChars="200"/>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我单位如存在投标截止后撤销投标文件、中标后无正当理由不与招标人订立合同、在签订合同时向招标人提出附加条件，或在招标投标活动中存在其他违法违规的行为，我单位自愿承担因此造成的一切法律后果，自愿接受招标人和招标投标监督部门的信用惩戒措施。</w:t>
      </w:r>
    </w:p>
    <w:p w14:paraId="54972EA4">
      <w:pPr>
        <w:spacing w:line="360" w:lineRule="auto"/>
        <w:ind w:firstLine="536" w:firstLineChars="200"/>
        <w:rPr>
          <w:rFonts w:ascii="仿宋" w:hAnsi="仿宋" w:eastAsia="仿宋" w:cs="仿宋"/>
          <w:color w:val="auto"/>
          <w:spacing w:val="14"/>
          <w:sz w:val="24"/>
          <w:highlight w:val="none"/>
        </w:rPr>
      </w:pPr>
    </w:p>
    <w:p w14:paraId="5E38E818">
      <w:pPr>
        <w:spacing w:line="360" w:lineRule="auto"/>
        <w:ind w:firstLine="536" w:firstLineChars="200"/>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法定代表人（签字或盖章）：</w:t>
      </w:r>
    </w:p>
    <w:p w14:paraId="2D256FF7">
      <w:pPr>
        <w:spacing w:line="360" w:lineRule="auto"/>
        <w:ind w:firstLine="536" w:firstLineChars="200"/>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授权委托人（签字或盖章）：</w:t>
      </w:r>
    </w:p>
    <w:p w14:paraId="48D5906E">
      <w:pPr>
        <w:spacing w:line="360" w:lineRule="auto"/>
        <w:ind w:firstLine="536" w:firstLineChars="200"/>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联系电话:</w:t>
      </w:r>
    </w:p>
    <w:p w14:paraId="6BB08B1C">
      <w:pPr>
        <w:spacing w:line="360" w:lineRule="auto"/>
        <w:ind w:firstLine="536" w:firstLineChars="200"/>
        <w:rPr>
          <w:rFonts w:ascii="仿宋" w:hAnsi="仿宋" w:eastAsia="仿宋" w:cs="仿宋"/>
          <w:color w:val="auto"/>
          <w:spacing w:val="14"/>
          <w:sz w:val="24"/>
          <w:highlight w:val="none"/>
        </w:rPr>
      </w:pPr>
    </w:p>
    <w:p w14:paraId="764C39DB">
      <w:pPr>
        <w:wordWrap w:val="0"/>
        <w:spacing w:line="360" w:lineRule="auto"/>
        <w:ind w:firstLine="536" w:firstLineChars="200"/>
        <w:jc w:val="right"/>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投标人:（</w:t>
      </w:r>
      <w:r>
        <w:rPr>
          <w:rFonts w:hint="eastAsia" w:ascii="仿宋" w:hAnsi="仿宋" w:eastAsia="仿宋" w:cs="仿宋"/>
          <w:color w:val="auto"/>
          <w:sz w:val="24"/>
          <w:highlight w:val="none"/>
        </w:rPr>
        <w:t>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pacing w:val="14"/>
          <w:sz w:val="24"/>
          <w:highlight w:val="none"/>
        </w:rPr>
        <w:t xml:space="preserve">)         </w:t>
      </w:r>
    </w:p>
    <w:p w14:paraId="1C201591">
      <w:pPr>
        <w:spacing w:line="360" w:lineRule="auto"/>
        <w:ind w:firstLine="536" w:firstLineChars="200"/>
        <w:jc w:val="right"/>
        <w:rPr>
          <w:rFonts w:ascii="仿宋" w:hAnsi="仿宋" w:eastAsia="仿宋" w:cs="仿宋"/>
          <w:color w:val="auto"/>
          <w:spacing w:val="14"/>
          <w:sz w:val="24"/>
          <w:highlight w:val="none"/>
        </w:rPr>
      </w:pPr>
      <w:r>
        <w:rPr>
          <w:rFonts w:hint="eastAsia" w:ascii="仿宋" w:hAnsi="仿宋" w:eastAsia="仿宋" w:cs="仿宋"/>
          <w:color w:val="auto"/>
          <w:spacing w:val="14"/>
          <w:sz w:val="24"/>
          <w:highlight w:val="none"/>
        </w:rPr>
        <w:t xml:space="preserve">    年    月   日</w:t>
      </w:r>
    </w:p>
    <w:bookmarkEnd w:id="591"/>
    <w:bookmarkEnd w:id="592"/>
    <w:p w14:paraId="12BFDF01">
      <w:pPr>
        <w:spacing w:after="156" w:afterLines="50" w:line="360" w:lineRule="auto"/>
        <w:ind w:firstLine="480" w:firstLineChars="200"/>
        <w:jc w:val="left"/>
        <w:rPr>
          <w:rFonts w:ascii="Calibri" w:hAnsi="Calibri" w:eastAsia="宋体" w:cs="Times New Roman"/>
          <w:color w:val="auto"/>
          <w:sz w:val="24"/>
          <w:highlight w:val="none"/>
        </w:rPr>
      </w:pPr>
    </w:p>
    <w:p w14:paraId="7663604D">
      <w:pPr>
        <w:spacing w:line="440" w:lineRule="exact"/>
        <w:rPr>
          <w:rFonts w:hint="eastAsia" w:ascii="仿宋" w:hAnsi="仿宋" w:eastAsia="仿宋" w:cs="仿宋"/>
          <w:color w:val="auto"/>
          <w:szCs w:val="21"/>
          <w:highlight w:val="none"/>
        </w:rPr>
      </w:pPr>
    </w:p>
    <w:p w14:paraId="2A6071CF">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p>
    <w:p w14:paraId="4CF742FA">
      <w:pPr>
        <w:pStyle w:val="35"/>
        <w:spacing w:before="156"/>
        <w:jc w:val="center"/>
        <w:rPr>
          <w:rFonts w:hint="default" w:ascii="仿宋" w:hAnsi="仿宋" w:cs="仿宋"/>
          <w:b/>
          <w:color w:val="auto"/>
          <w:sz w:val="32"/>
          <w:highlight w:val="none"/>
          <w:lang w:val="en-US" w:eastAsia="zh-CN"/>
        </w:rPr>
      </w:pPr>
      <w:bookmarkStart w:id="593" w:name="_Toc13558"/>
      <w:r>
        <w:rPr>
          <w:rFonts w:hint="eastAsia" w:ascii="仿宋" w:hAnsi="仿宋" w:cs="仿宋"/>
          <w:b/>
          <w:color w:val="auto"/>
          <w:sz w:val="32"/>
          <w:highlight w:val="none"/>
          <w:lang w:val="en-US" w:eastAsia="zh-CN"/>
        </w:rPr>
        <w:t>四、中小微企业声明函（投标人）</w:t>
      </w:r>
      <w:bookmarkEnd w:id="593"/>
    </w:p>
    <w:p w14:paraId="0451D09F">
      <w:pPr>
        <w:pStyle w:val="8"/>
        <w:rPr>
          <w:rFonts w:hint="eastAsia"/>
          <w:color w:val="auto"/>
          <w:highlight w:val="none"/>
        </w:rPr>
      </w:pPr>
    </w:p>
    <w:p w14:paraId="296DB6EC">
      <w:pPr>
        <w:spacing w:line="38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中小微企业声明函（工程）</w:t>
      </w:r>
    </w:p>
    <w:p w14:paraId="0BE329F4">
      <w:pPr>
        <w:spacing w:line="380" w:lineRule="exact"/>
        <w:jc w:val="center"/>
        <w:rPr>
          <w:rFonts w:hint="eastAsia" w:ascii="仿宋" w:hAnsi="仿宋" w:eastAsia="仿宋" w:cs="仿宋"/>
          <w:color w:val="auto"/>
          <w:spacing w:val="14"/>
          <w:sz w:val="24"/>
          <w:szCs w:val="24"/>
          <w:highlight w:val="none"/>
        </w:rPr>
      </w:pPr>
    </w:p>
    <w:p w14:paraId="6282B619">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本公司郑重声明，根据《政府采购促进中小企业发展管理办法》（财库〔2020〕46号）的规定，本公司参加</w:t>
      </w:r>
      <w:r>
        <w:rPr>
          <w:rFonts w:hint="eastAsia" w:ascii="仿宋" w:hAnsi="仿宋" w:eastAsia="仿宋" w:cs="仿宋"/>
          <w:color w:val="auto"/>
          <w:spacing w:val="14"/>
          <w:sz w:val="24"/>
          <w:szCs w:val="24"/>
          <w:highlight w:val="none"/>
          <w:u w:val="single"/>
        </w:rPr>
        <w:t xml:space="preserve">  （单位名称）  </w:t>
      </w:r>
      <w:r>
        <w:rPr>
          <w:rFonts w:hint="eastAsia" w:ascii="仿宋" w:hAnsi="仿宋" w:eastAsia="仿宋" w:cs="仿宋"/>
          <w:color w:val="auto"/>
          <w:spacing w:val="14"/>
          <w:sz w:val="24"/>
          <w:szCs w:val="24"/>
          <w:highlight w:val="none"/>
        </w:rPr>
        <w:t>的</w:t>
      </w:r>
      <w:r>
        <w:rPr>
          <w:rFonts w:hint="eastAsia" w:ascii="仿宋" w:hAnsi="仿宋" w:eastAsia="仿宋" w:cs="仿宋"/>
          <w:color w:val="auto"/>
          <w:spacing w:val="14"/>
          <w:sz w:val="24"/>
          <w:szCs w:val="24"/>
          <w:highlight w:val="none"/>
          <w:u w:val="single"/>
        </w:rPr>
        <w:t xml:space="preserve">  （项目名称</w:t>
      </w:r>
      <w:r>
        <w:rPr>
          <w:rFonts w:hint="eastAsia" w:ascii="仿宋" w:hAnsi="仿宋" w:eastAsia="仿宋" w:cs="仿宋"/>
          <w:color w:val="auto"/>
          <w:spacing w:val="14"/>
          <w:sz w:val="24"/>
          <w:szCs w:val="24"/>
          <w:highlight w:val="none"/>
          <w:u w:val="single"/>
          <w:lang w:eastAsia="zh-CN"/>
        </w:rPr>
        <w:t>、标段</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none"/>
          <w:lang w:eastAsia="zh-CN"/>
        </w:rPr>
        <w:t>招标</w:t>
      </w:r>
      <w:r>
        <w:rPr>
          <w:rFonts w:hint="eastAsia" w:ascii="仿宋" w:hAnsi="仿宋" w:eastAsia="仿宋" w:cs="仿宋"/>
          <w:color w:val="auto"/>
          <w:spacing w:val="14"/>
          <w:sz w:val="24"/>
          <w:szCs w:val="24"/>
          <w:highlight w:val="none"/>
        </w:rPr>
        <w:t>活动，</w:t>
      </w:r>
      <w:r>
        <w:rPr>
          <w:rFonts w:hint="eastAsia" w:ascii="仿宋" w:hAnsi="仿宋" w:eastAsia="仿宋" w:cs="仿宋"/>
          <w:color w:val="auto"/>
          <w:spacing w:val="14"/>
          <w:sz w:val="24"/>
          <w:szCs w:val="24"/>
          <w:highlight w:val="none"/>
          <w:lang w:eastAsia="zh-CN"/>
        </w:rPr>
        <w:t>工程的施工单位全部为符合政策要求的中小企业，相关企业的具体情况如下</w:t>
      </w:r>
      <w:r>
        <w:rPr>
          <w:rFonts w:hint="eastAsia" w:ascii="仿宋" w:hAnsi="仿宋" w:eastAsia="仿宋" w:cs="仿宋"/>
          <w:color w:val="auto"/>
          <w:spacing w:val="14"/>
          <w:sz w:val="24"/>
          <w:szCs w:val="24"/>
          <w:highlight w:val="none"/>
        </w:rPr>
        <w:t>：</w:t>
      </w:r>
    </w:p>
    <w:p w14:paraId="203426DC">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eastAsia="zh-CN"/>
        </w:rPr>
        <w:t>标的</w:t>
      </w:r>
      <w:r>
        <w:rPr>
          <w:rFonts w:hint="eastAsia" w:ascii="仿宋" w:hAnsi="仿宋" w:eastAsia="仿宋" w:cs="仿宋"/>
          <w:color w:val="auto"/>
          <w:spacing w:val="14"/>
          <w:sz w:val="24"/>
          <w:szCs w:val="24"/>
          <w:highlight w:val="none"/>
          <w:u w:val="single"/>
        </w:rPr>
        <w:t>名称）</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，属于</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eastAsia="zh-CN"/>
        </w:rPr>
        <w:t>招标</w:t>
      </w:r>
      <w:r>
        <w:rPr>
          <w:rFonts w:hint="eastAsia" w:ascii="仿宋" w:hAnsi="仿宋" w:eastAsia="仿宋" w:cs="仿宋"/>
          <w:color w:val="auto"/>
          <w:spacing w:val="14"/>
          <w:sz w:val="24"/>
          <w:szCs w:val="24"/>
          <w:highlight w:val="none"/>
          <w:u w:val="single"/>
        </w:rPr>
        <w:t xml:space="preserve">文件中明确的所属行业）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；承</w:t>
      </w:r>
      <w:r>
        <w:rPr>
          <w:rFonts w:hint="eastAsia" w:ascii="仿宋" w:hAnsi="仿宋" w:eastAsia="仿宋" w:cs="仿宋"/>
          <w:color w:val="auto"/>
          <w:spacing w:val="14"/>
          <w:sz w:val="24"/>
          <w:szCs w:val="24"/>
          <w:highlight w:val="none"/>
          <w:lang w:eastAsia="zh-CN"/>
        </w:rPr>
        <w:t>建</w:t>
      </w:r>
      <w:r>
        <w:rPr>
          <w:rFonts w:hint="eastAsia" w:ascii="仿宋" w:hAnsi="仿宋" w:eastAsia="仿宋" w:cs="仿宋"/>
          <w:color w:val="auto"/>
          <w:spacing w:val="14"/>
          <w:sz w:val="24"/>
          <w:szCs w:val="24"/>
          <w:highlight w:val="none"/>
        </w:rPr>
        <w:t>企业为</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（企业名称）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，从业人员</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人，营业收入为</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万元，资产总额为</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rPr>
        <w:t>万元</w:t>
      </w:r>
      <w:r>
        <w:rPr>
          <w:rStyle w:val="30"/>
          <w:rFonts w:hint="eastAsia" w:ascii="仿宋" w:hAnsi="仿宋" w:eastAsia="仿宋" w:cs="仿宋"/>
          <w:color w:val="auto"/>
          <w:spacing w:val="14"/>
          <w:sz w:val="24"/>
          <w:szCs w:val="24"/>
          <w:highlight w:val="none"/>
        </w:rPr>
        <w:footnoteReference w:id="0"/>
      </w:r>
      <w:r>
        <w:rPr>
          <w:rFonts w:hint="eastAsia" w:ascii="仿宋" w:hAnsi="仿宋" w:eastAsia="仿宋" w:cs="仿宋"/>
          <w:color w:val="auto"/>
          <w:spacing w:val="14"/>
          <w:sz w:val="24"/>
          <w:szCs w:val="24"/>
          <w:highlight w:val="none"/>
        </w:rPr>
        <w:t>，属于</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 xml:space="preserve"> </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u w:val="single"/>
        </w:rPr>
        <w:t>（中型企业、小型企业、微型企业）</w:t>
      </w:r>
      <w:r>
        <w:rPr>
          <w:rFonts w:hint="eastAsia" w:ascii="仿宋" w:hAnsi="仿宋" w:eastAsia="仿宋" w:cs="仿宋"/>
          <w:color w:val="auto"/>
          <w:spacing w:val="14"/>
          <w:sz w:val="24"/>
          <w:szCs w:val="24"/>
          <w:highlight w:val="none"/>
        </w:rPr>
        <w:t>；</w:t>
      </w:r>
    </w:p>
    <w:p w14:paraId="4669AD8F">
      <w:pPr>
        <w:spacing w:line="380" w:lineRule="exact"/>
        <w:ind w:firstLine="420"/>
        <w:rPr>
          <w:rFonts w:hint="eastAsia" w:ascii="仿宋" w:hAnsi="仿宋" w:eastAsia="仿宋" w:cs="仿宋"/>
          <w:color w:val="auto"/>
          <w:sz w:val="24"/>
          <w:szCs w:val="24"/>
          <w:highlight w:val="none"/>
        </w:rPr>
      </w:pPr>
    </w:p>
    <w:p w14:paraId="63326762">
      <w:pPr>
        <w:pStyle w:val="8"/>
        <w:rPr>
          <w:rFonts w:hint="eastAsia" w:ascii="仿宋" w:hAnsi="仿宋" w:eastAsia="仿宋" w:cs="仿宋"/>
          <w:color w:val="auto"/>
          <w:sz w:val="24"/>
          <w:szCs w:val="24"/>
          <w:highlight w:val="none"/>
          <w:lang w:eastAsia="zh-CN"/>
        </w:rPr>
      </w:pPr>
    </w:p>
    <w:p w14:paraId="35C40DE2">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以上企业，不属于大企业的分支机构，不存在控股股东为大企业的情形，也不存在与大企业的负责人为同一人的情形。</w:t>
      </w:r>
    </w:p>
    <w:p w14:paraId="7C262E61">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本企业对上述声明的真实性负责。如有虚假，将依法承担相应责任。</w:t>
      </w:r>
    </w:p>
    <w:p w14:paraId="3510BA53">
      <w:pPr>
        <w:spacing w:line="380" w:lineRule="exact"/>
        <w:rPr>
          <w:rFonts w:hint="eastAsia" w:ascii="仿宋" w:hAnsi="仿宋" w:eastAsia="仿宋" w:cs="仿宋"/>
          <w:color w:val="auto"/>
          <w:spacing w:val="14"/>
          <w:sz w:val="24"/>
          <w:szCs w:val="24"/>
          <w:highlight w:val="none"/>
        </w:rPr>
      </w:pPr>
    </w:p>
    <w:p w14:paraId="6DF25662">
      <w:pPr>
        <w:spacing w:line="380" w:lineRule="exact"/>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lang w:eastAsia="zh-CN"/>
        </w:rPr>
        <w:t>投标人</w:t>
      </w:r>
      <w:r>
        <w:rPr>
          <w:rFonts w:hint="eastAsia" w:ascii="仿宋" w:hAnsi="仿宋" w:eastAsia="仿宋" w:cs="仿宋"/>
          <w:color w:val="auto"/>
          <w:spacing w:val="14"/>
          <w:sz w:val="24"/>
          <w:szCs w:val="24"/>
          <w:highlight w:val="none"/>
        </w:rPr>
        <w:t>（企业电子章）：</w:t>
      </w:r>
    </w:p>
    <w:p w14:paraId="75E09EA0">
      <w:pPr>
        <w:spacing w:line="380" w:lineRule="exact"/>
        <w:rPr>
          <w:rFonts w:hint="eastAsia" w:ascii="仿宋" w:hAnsi="仿宋" w:eastAsia="仿宋" w:cs="仿宋"/>
          <w:color w:val="auto"/>
          <w:sz w:val="24"/>
          <w:szCs w:val="24"/>
          <w:highlight w:val="none"/>
        </w:rPr>
      </w:pPr>
      <w:r>
        <w:rPr>
          <w:rFonts w:hint="eastAsia" w:ascii="仿宋" w:hAnsi="仿宋" w:eastAsia="仿宋" w:cs="仿宋"/>
          <w:color w:val="auto"/>
          <w:spacing w:val="14"/>
          <w:sz w:val="24"/>
          <w:szCs w:val="24"/>
          <w:highlight w:val="none"/>
        </w:rPr>
        <w:t>日期：</w:t>
      </w:r>
    </w:p>
    <w:p w14:paraId="65AE69EF">
      <w:pPr>
        <w:spacing w:line="360" w:lineRule="auto"/>
        <w:jc w:val="left"/>
        <w:rPr>
          <w:rFonts w:hint="eastAsia" w:ascii="仿宋" w:hAnsi="仿宋" w:eastAsia="仿宋" w:cs="仿宋"/>
          <w:color w:val="auto"/>
          <w:highlight w:val="none"/>
        </w:rPr>
      </w:pPr>
    </w:p>
    <w:p w14:paraId="73ABAE79">
      <w:pPr>
        <w:spacing w:line="360" w:lineRule="auto"/>
        <w:jc w:val="left"/>
        <w:rPr>
          <w:rFonts w:hint="eastAsia" w:ascii="仿宋" w:hAnsi="仿宋" w:eastAsia="仿宋" w:cs="仿宋"/>
          <w:color w:val="auto"/>
          <w:highlight w:val="none"/>
        </w:rPr>
      </w:pPr>
    </w:p>
    <w:p w14:paraId="3B5F042D">
      <w:pPr>
        <w:spacing w:line="360" w:lineRule="auto"/>
        <w:jc w:val="left"/>
        <w:rPr>
          <w:rFonts w:ascii="仿宋" w:hAnsi="仿宋" w:eastAsia="仿宋" w:cs="仿宋"/>
          <w:color w:val="auto"/>
          <w:highlight w:val="none"/>
        </w:rPr>
      </w:pPr>
      <w:r>
        <w:rPr>
          <w:rFonts w:hint="eastAsia" w:ascii="仿宋" w:hAnsi="仿宋" w:eastAsia="仿宋" w:cs="仿宋"/>
          <w:color w:val="auto"/>
          <w:highlight w:val="none"/>
        </w:rPr>
        <w:t>注：</w:t>
      </w:r>
    </w:p>
    <w:p w14:paraId="47D7D7BF">
      <w:pPr>
        <w:spacing w:line="360" w:lineRule="auto"/>
        <w:ind w:firstLine="630" w:firstLineChars="300"/>
        <w:jc w:val="left"/>
        <w:rPr>
          <w:rFonts w:ascii="仿宋" w:hAnsi="仿宋" w:eastAsia="仿宋" w:cs="仿宋"/>
          <w:color w:val="auto"/>
          <w:highlight w:val="none"/>
        </w:rPr>
      </w:pPr>
      <w:r>
        <w:rPr>
          <w:rFonts w:hint="eastAsia" w:ascii="仿宋" w:hAnsi="仿宋" w:eastAsia="仿宋" w:cs="仿宋"/>
          <w:color w:val="auto"/>
          <w:highlight w:val="none"/>
        </w:rPr>
        <w:t>1、从业人员、营业收入、资产总额填报上一年度数据，无上一年度数据的新成立企业可不填报。</w:t>
      </w:r>
    </w:p>
    <w:p w14:paraId="45AC0700">
      <w:pPr>
        <w:spacing w:line="360" w:lineRule="auto"/>
        <w:ind w:firstLine="630" w:firstLineChars="300"/>
        <w:jc w:val="left"/>
        <w:rPr>
          <w:rFonts w:ascii="仿宋" w:hAnsi="仿宋" w:eastAsia="仿宋" w:cs="仿宋"/>
          <w:color w:val="auto"/>
          <w:highlight w:val="none"/>
        </w:rPr>
      </w:pPr>
      <w:r>
        <w:rPr>
          <w:rFonts w:hint="eastAsia" w:ascii="仿宋" w:hAnsi="仿宋" w:eastAsia="仿宋" w:cs="仿宋"/>
          <w:color w:val="auto"/>
          <w:highlight w:val="none"/>
        </w:rPr>
        <w:t>2、中小企业划分标准见工业和信息化部国家统计局国家发展和改革委员财政部《关于印发中小企业划型标准规定的通知》（工信部联企业〔2011〕300 号)。</w:t>
      </w:r>
    </w:p>
    <w:p w14:paraId="6C85FE5E">
      <w:pPr>
        <w:ind w:firstLine="630" w:firstLineChars="300"/>
        <w:rPr>
          <w:rFonts w:hint="eastAsia" w:ascii="仿宋" w:hAnsi="仿宋" w:eastAsia="仿宋" w:cs="仿宋"/>
          <w:color w:val="auto"/>
          <w:sz w:val="24"/>
          <w:szCs w:val="24"/>
          <w:highlight w:val="none"/>
        </w:rPr>
      </w:pPr>
      <w:r>
        <w:rPr>
          <w:rFonts w:hint="eastAsia" w:ascii="仿宋" w:hAnsi="仿宋" w:eastAsia="仿宋" w:cs="仿宋"/>
          <w:color w:val="auto"/>
          <w:highlight w:val="none"/>
        </w:rPr>
        <w:t>3、本项目对应的中小企业划分标准所属行业为：</w:t>
      </w:r>
      <w:r>
        <w:rPr>
          <w:rFonts w:hint="eastAsia" w:ascii="仿宋" w:hAnsi="仿宋" w:eastAsia="仿宋" w:cs="仿宋"/>
          <w:b/>
          <w:bCs/>
          <w:color w:val="auto"/>
          <w:highlight w:val="none"/>
        </w:rPr>
        <w:t>建筑业；</w:t>
      </w:r>
    </w:p>
    <w:p w14:paraId="5A47AC28">
      <w:pPr>
        <w:rPr>
          <w:rFonts w:hint="eastAsia"/>
          <w:color w:val="auto"/>
          <w:highlight w:val="none"/>
        </w:rPr>
      </w:pPr>
      <w:r>
        <w:rPr>
          <w:rFonts w:hint="eastAsia"/>
          <w:color w:val="auto"/>
          <w:highlight w:val="none"/>
        </w:rPr>
        <w:br w:type="page"/>
      </w:r>
    </w:p>
    <w:p w14:paraId="5BD84E4C">
      <w:pPr>
        <w:pStyle w:val="10"/>
        <w:rPr>
          <w:rFonts w:hint="eastAsia"/>
          <w:color w:val="auto"/>
          <w:highlight w:val="none"/>
        </w:rPr>
      </w:pPr>
    </w:p>
    <w:p w14:paraId="32C76A5E">
      <w:pPr>
        <w:pStyle w:val="35"/>
        <w:spacing w:before="156"/>
        <w:jc w:val="center"/>
        <w:rPr>
          <w:rFonts w:hint="default" w:ascii="仿宋" w:hAnsi="仿宋" w:cs="仿宋"/>
          <w:b/>
          <w:color w:val="auto"/>
          <w:sz w:val="32"/>
          <w:highlight w:val="none"/>
          <w:lang w:val="en-US" w:eastAsia="zh-CN"/>
        </w:rPr>
      </w:pPr>
      <w:bookmarkStart w:id="594" w:name="_Toc29801"/>
      <w:r>
        <w:rPr>
          <w:rFonts w:hint="eastAsia" w:ascii="仿宋" w:hAnsi="仿宋" w:cs="仿宋"/>
          <w:b/>
          <w:color w:val="auto"/>
          <w:sz w:val="32"/>
          <w:highlight w:val="none"/>
          <w:lang w:val="en-US" w:eastAsia="zh-CN"/>
        </w:rPr>
        <w:t>五、残疾人福利性单位声明函</w:t>
      </w:r>
      <w:bookmarkEnd w:id="594"/>
    </w:p>
    <w:p w14:paraId="09E082E4">
      <w:pPr>
        <w:pStyle w:val="8"/>
        <w:rPr>
          <w:rFonts w:hint="eastAsia" w:ascii="仿宋" w:hAnsi="仿宋" w:eastAsia="仿宋" w:cs="仿宋"/>
          <w:color w:val="auto"/>
          <w:sz w:val="24"/>
          <w:szCs w:val="24"/>
          <w:highlight w:val="none"/>
        </w:rPr>
      </w:pPr>
    </w:p>
    <w:p w14:paraId="35695511">
      <w:pPr>
        <w:spacing w:line="38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残疾人福利性单位声明函</w:t>
      </w:r>
    </w:p>
    <w:p w14:paraId="1FFEF7C0">
      <w:pPr>
        <w:spacing w:line="380" w:lineRule="exact"/>
        <w:ind w:firstLine="420"/>
        <w:rPr>
          <w:rFonts w:hint="eastAsia" w:ascii="仿宋" w:hAnsi="仿宋" w:eastAsia="仿宋" w:cs="仿宋"/>
          <w:color w:val="auto"/>
          <w:spacing w:val="14"/>
          <w:sz w:val="24"/>
          <w:szCs w:val="24"/>
          <w:highlight w:val="none"/>
        </w:rPr>
      </w:pPr>
    </w:p>
    <w:p w14:paraId="7CAD9C45">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rPr>
        <w:t>单位的</w:t>
      </w:r>
      <w:r>
        <w:rPr>
          <w:rFonts w:hint="eastAsia" w:ascii="仿宋" w:hAnsi="仿宋" w:eastAsia="仿宋" w:cs="仿宋"/>
          <w:color w:val="auto"/>
          <w:spacing w:val="14"/>
          <w:sz w:val="24"/>
          <w:szCs w:val="24"/>
          <w:highlight w:val="none"/>
          <w:u w:val="single"/>
          <w:lang w:val="en-US" w:eastAsia="zh-CN"/>
        </w:rPr>
        <w:t xml:space="preserve">      </w:t>
      </w:r>
      <w:r>
        <w:rPr>
          <w:rFonts w:hint="eastAsia" w:ascii="仿宋" w:hAnsi="仿宋" w:eastAsia="仿宋" w:cs="仿宋"/>
          <w:color w:val="auto"/>
          <w:spacing w:val="14"/>
          <w:sz w:val="24"/>
          <w:szCs w:val="24"/>
          <w:highlight w:val="none"/>
        </w:rPr>
        <w:t>项目</w:t>
      </w:r>
      <w:r>
        <w:rPr>
          <w:rFonts w:hint="eastAsia" w:ascii="仿宋" w:hAnsi="仿宋" w:eastAsia="仿宋" w:cs="仿宋"/>
          <w:color w:val="auto"/>
          <w:spacing w:val="14"/>
          <w:sz w:val="24"/>
          <w:szCs w:val="24"/>
          <w:highlight w:val="none"/>
          <w:lang w:eastAsia="zh-CN"/>
        </w:rPr>
        <w:t>、标段招标</w:t>
      </w:r>
      <w:r>
        <w:rPr>
          <w:rFonts w:hint="eastAsia" w:ascii="仿宋" w:hAnsi="仿宋" w:eastAsia="仿宋" w:cs="仿宋"/>
          <w:color w:val="auto"/>
          <w:spacing w:val="14"/>
          <w:sz w:val="24"/>
          <w:szCs w:val="24"/>
          <w:highlight w:val="none"/>
        </w:rPr>
        <w:t>活动提供本单位的服务。</w:t>
      </w:r>
    </w:p>
    <w:p w14:paraId="0931F398">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本单位对上述声明的真实性负责。如有虚假，将依法承担相应责任。</w:t>
      </w:r>
    </w:p>
    <w:p w14:paraId="6318A9E6">
      <w:pPr>
        <w:spacing w:line="380" w:lineRule="exact"/>
        <w:ind w:firstLine="420"/>
        <w:rPr>
          <w:rFonts w:hint="eastAsia" w:ascii="仿宋" w:hAnsi="仿宋" w:eastAsia="仿宋" w:cs="仿宋"/>
          <w:color w:val="auto"/>
          <w:spacing w:val="14"/>
          <w:sz w:val="24"/>
          <w:szCs w:val="24"/>
          <w:highlight w:val="none"/>
        </w:rPr>
      </w:pPr>
    </w:p>
    <w:p w14:paraId="0D85832B">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 xml:space="preserve">                              </w:t>
      </w:r>
      <w:r>
        <w:rPr>
          <w:rFonts w:hint="eastAsia" w:ascii="仿宋" w:hAnsi="仿宋" w:eastAsia="仿宋" w:cs="仿宋"/>
          <w:color w:val="auto"/>
          <w:spacing w:val="14"/>
          <w:sz w:val="24"/>
          <w:szCs w:val="24"/>
          <w:highlight w:val="none"/>
          <w:lang w:eastAsia="zh-CN"/>
        </w:rPr>
        <w:t>投标人</w:t>
      </w:r>
      <w:r>
        <w:rPr>
          <w:rFonts w:hint="eastAsia" w:ascii="仿宋" w:hAnsi="仿宋" w:eastAsia="仿宋" w:cs="仿宋"/>
          <w:color w:val="auto"/>
          <w:spacing w:val="14"/>
          <w:sz w:val="24"/>
          <w:szCs w:val="24"/>
          <w:highlight w:val="none"/>
        </w:rPr>
        <w:t>（企业</w:t>
      </w:r>
      <w:r>
        <w:rPr>
          <w:rFonts w:hint="eastAsia" w:ascii="仿宋" w:hAnsi="仿宋" w:eastAsia="仿宋" w:cs="仿宋"/>
          <w:color w:val="auto"/>
          <w:spacing w:val="14"/>
          <w:sz w:val="24"/>
          <w:szCs w:val="24"/>
          <w:highlight w:val="none"/>
          <w:lang w:val="en-US" w:eastAsia="zh-CN"/>
        </w:rPr>
        <w:t>公</w:t>
      </w:r>
      <w:r>
        <w:rPr>
          <w:rFonts w:hint="eastAsia" w:ascii="仿宋" w:hAnsi="仿宋" w:eastAsia="仿宋" w:cs="仿宋"/>
          <w:color w:val="auto"/>
          <w:spacing w:val="14"/>
          <w:sz w:val="24"/>
          <w:szCs w:val="24"/>
          <w:highlight w:val="none"/>
        </w:rPr>
        <w:t>章）：</w:t>
      </w:r>
    </w:p>
    <w:p w14:paraId="5141E6F7">
      <w:pPr>
        <w:spacing w:line="360" w:lineRule="auto"/>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br w:type="page"/>
      </w:r>
    </w:p>
    <w:p w14:paraId="1FD056FA">
      <w:pPr>
        <w:pStyle w:val="35"/>
        <w:spacing w:before="156"/>
        <w:jc w:val="center"/>
        <w:rPr>
          <w:rFonts w:hint="default" w:ascii="仿宋" w:hAnsi="仿宋" w:cs="仿宋"/>
          <w:b/>
          <w:color w:val="auto"/>
          <w:sz w:val="32"/>
          <w:highlight w:val="none"/>
          <w:lang w:val="en-US" w:eastAsia="zh-CN"/>
        </w:rPr>
      </w:pPr>
      <w:bookmarkStart w:id="595" w:name="_Toc4827"/>
      <w:r>
        <w:rPr>
          <w:rFonts w:hint="eastAsia" w:ascii="仿宋" w:hAnsi="仿宋" w:cs="仿宋"/>
          <w:b/>
          <w:color w:val="auto"/>
          <w:sz w:val="32"/>
          <w:highlight w:val="none"/>
          <w:lang w:val="en-US" w:eastAsia="zh-CN"/>
        </w:rPr>
        <w:t>六、监狱企业证明文件</w:t>
      </w:r>
      <w:bookmarkEnd w:id="595"/>
    </w:p>
    <w:p w14:paraId="66D8AA89">
      <w:pPr>
        <w:pStyle w:val="8"/>
        <w:rPr>
          <w:rFonts w:hint="eastAsia"/>
          <w:color w:val="auto"/>
          <w:highlight w:val="none"/>
        </w:rPr>
      </w:pPr>
    </w:p>
    <w:p w14:paraId="3C527DFA">
      <w:pPr>
        <w:spacing w:line="38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监狱企业证明文件</w:t>
      </w:r>
    </w:p>
    <w:p w14:paraId="6032795C">
      <w:pPr>
        <w:spacing w:line="380" w:lineRule="exact"/>
        <w:ind w:firstLine="420"/>
        <w:rPr>
          <w:rFonts w:hint="eastAsia" w:ascii="仿宋" w:hAnsi="仿宋" w:eastAsia="仿宋" w:cs="仿宋"/>
          <w:color w:val="auto"/>
          <w:spacing w:val="14"/>
          <w:sz w:val="24"/>
          <w:szCs w:val="24"/>
          <w:highlight w:val="none"/>
        </w:rPr>
      </w:pPr>
    </w:p>
    <w:p w14:paraId="4A0D31B4">
      <w:pPr>
        <w:spacing w:line="380" w:lineRule="exact"/>
        <w:ind w:firstLine="42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监狱企业参加政府采购活动时，应当提供由省级以上监狱管理局、戒毒管理局(含新疆生产建设兵团)出具的属于监狱企业的证明文件。</w:t>
      </w:r>
    </w:p>
    <w:p w14:paraId="6A13E9A1">
      <w:pPr>
        <w:jc w:val="right"/>
        <w:rPr>
          <w:rFonts w:hint="eastAsia" w:ascii="仿宋" w:hAnsi="仿宋" w:eastAsia="仿宋" w:cs="仿宋"/>
          <w:color w:val="auto"/>
          <w:spacing w:val="14"/>
          <w:sz w:val="24"/>
          <w:szCs w:val="24"/>
          <w:highlight w:val="none"/>
        </w:rPr>
      </w:pPr>
    </w:p>
    <w:p w14:paraId="4C518863">
      <w:pPr>
        <w:jc w:val="right"/>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注：在</w:t>
      </w:r>
      <w:r>
        <w:rPr>
          <w:rFonts w:hint="eastAsia" w:ascii="仿宋" w:hAnsi="仿宋" w:eastAsia="仿宋" w:cs="仿宋"/>
          <w:color w:val="auto"/>
          <w:spacing w:val="14"/>
          <w:sz w:val="24"/>
          <w:szCs w:val="24"/>
          <w:highlight w:val="none"/>
          <w:lang w:eastAsia="zh-CN"/>
        </w:rPr>
        <w:t>投标文件</w:t>
      </w:r>
      <w:r>
        <w:rPr>
          <w:rFonts w:hint="eastAsia" w:ascii="仿宋" w:hAnsi="仿宋" w:eastAsia="仿宋" w:cs="仿宋"/>
          <w:color w:val="auto"/>
          <w:spacing w:val="14"/>
          <w:sz w:val="24"/>
          <w:szCs w:val="24"/>
          <w:highlight w:val="none"/>
        </w:rPr>
        <w:t>中附扫描件</w:t>
      </w:r>
    </w:p>
    <w:p w14:paraId="3936337B">
      <w:pPr>
        <w:spacing w:line="360" w:lineRule="auto"/>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br w:type="page"/>
      </w:r>
    </w:p>
    <w:p w14:paraId="673D184A">
      <w:pPr>
        <w:pStyle w:val="35"/>
        <w:spacing w:before="156"/>
        <w:jc w:val="center"/>
        <w:rPr>
          <w:rFonts w:hint="default" w:ascii="仿宋" w:hAnsi="仿宋" w:eastAsia="仿宋" w:cs="仿宋"/>
          <w:b/>
          <w:color w:val="auto"/>
          <w:sz w:val="32"/>
          <w:highlight w:val="none"/>
          <w:lang w:val="en-US" w:eastAsia="zh-CN"/>
        </w:rPr>
      </w:pPr>
      <w:bookmarkStart w:id="596" w:name="_Toc8423608"/>
      <w:bookmarkStart w:id="597" w:name="_Toc144974863"/>
      <w:bookmarkStart w:id="598" w:name="_Toc152042584"/>
      <w:bookmarkStart w:id="599" w:name="_Toc152045795"/>
      <w:bookmarkStart w:id="600" w:name="_Toc24332"/>
      <w:bookmarkStart w:id="601" w:name="_Toc38209195"/>
      <w:bookmarkStart w:id="602" w:name="_Toc8079"/>
      <w:bookmarkStart w:id="603" w:name="_Toc13176"/>
      <w:r>
        <w:rPr>
          <w:rFonts w:hint="eastAsia" w:ascii="仿宋" w:hAnsi="仿宋" w:cs="仿宋"/>
          <w:b/>
          <w:color w:val="auto"/>
          <w:sz w:val="32"/>
          <w:highlight w:val="none"/>
          <w:lang w:val="en-US" w:eastAsia="zh-CN"/>
        </w:rPr>
        <w:t>七</w:t>
      </w:r>
      <w:r>
        <w:rPr>
          <w:rFonts w:hint="eastAsia" w:ascii="仿宋" w:hAnsi="仿宋" w:cs="仿宋"/>
          <w:b/>
          <w:color w:val="auto"/>
          <w:sz w:val="32"/>
          <w:highlight w:val="none"/>
        </w:rPr>
        <w:t>、</w:t>
      </w:r>
      <w:bookmarkEnd w:id="596"/>
      <w:bookmarkEnd w:id="597"/>
      <w:bookmarkEnd w:id="598"/>
      <w:bookmarkEnd w:id="599"/>
      <w:bookmarkEnd w:id="600"/>
      <w:bookmarkEnd w:id="601"/>
      <w:r>
        <w:rPr>
          <w:rFonts w:hint="eastAsia" w:ascii="仿宋" w:hAnsi="仿宋" w:cs="仿宋"/>
          <w:b/>
          <w:color w:val="auto"/>
          <w:sz w:val="32"/>
          <w:highlight w:val="none"/>
          <w:lang w:val="en-US" w:eastAsia="zh-CN"/>
        </w:rPr>
        <w:t>已标价工程量清单</w:t>
      </w:r>
      <w:bookmarkEnd w:id="602"/>
      <w:bookmarkEnd w:id="603"/>
    </w:p>
    <w:p w14:paraId="1252C9AE">
      <w:pPr>
        <w:pStyle w:val="55"/>
        <w:jc w:val="center"/>
        <w:rPr>
          <w:rFonts w:ascii="仿宋" w:hAnsi="仿宋" w:eastAsia="仿宋" w:cs="Times New Roman"/>
          <w:color w:val="auto"/>
          <w:spacing w:val="14"/>
          <w:kern w:val="0"/>
          <w:sz w:val="28"/>
          <w:szCs w:val="28"/>
          <w:highlight w:val="none"/>
        </w:rPr>
      </w:pPr>
    </w:p>
    <w:p w14:paraId="0BCCED6A">
      <w:pPr>
        <w:pStyle w:val="55"/>
        <w:widowControl/>
        <w:ind w:firstLine="482"/>
        <w:rPr>
          <w:rFonts w:ascii="仿宋" w:hAnsi="仿宋" w:eastAsia="仿宋" w:cs="Times New Roman"/>
          <w:color w:val="auto"/>
          <w:spacing w:val="14"/>
          <w:kern w:val="0"/>
          <w:szCs w:val="21"/>
          <w:highlight w:val="none"/>
        </w:rPr>
      </w:pPr>
    </w:p>
    <w:p w14:paraId="3F5C543D">
      <w:pPr>
        <w:spacing w:line="440" w:lineRule="exact"/>
        <w:rPr>
          <w:rFonts w:hint="eastAsia" w:ascii="仿宋" w:hAnsi="仿宋" w:eastAsia="仿宋" w:cs="仿宋"/>
          <w:color w:val="auto"/>
          <w:sz w:val="20"/>
          <w:szCs w:val="20"/>
          <w:highlight w:val="none"/>
        </w:rPr>
      </w:pPr>
    </w:p>
    <w:p w14:paraId="10DAA93B">
      <w:pPr>
        <w:spacing w:line="440" w:lineRule="exac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br w:type="page"/>
      </w:r>
    </w:p>
    <w:p w14:paraId="5E804058">
      <w:pPr>
        <w:pStyle w:val="35"/>
        <w:spacing w:before="156"/>
        <w:jc w:val="center"/>
        <w:rPr>
          <w:rFonts w:hint="eastAsia" w:ascii="仿宋" w:hAnsi="仿宋" w:cs="仿宋"/>
          <w:b/>
          <w:color w:val="auto"/>
          <w:sz w:val="32"/>
          <w:highlight w:val="none"/>
        </w:rPr>
      </w:pPr>
      <w:bookmarkStart w:id="604" w:name="_Toc1542"/>
      <w:bookmarkStart w:id="605" w:name="_Toc16468"/>
      <w:bookmarkStart w:id="606" w:name="_Toc13016"/>
      <w:r>
        <w:rPr>
          <w:rFonts w:hint="eastAsia" w:ascii="仿宋" w:hAnsi="仿宋" w:cs="仿宋"/>
          <w:b/>
          <w:color w:val="auto"/>
          <w:sz w:val="32"/>
          <w:highlight w:val="none"/>
          <w:lang w:val="en-US" w:eastAsia="zh-CN"/>
        </w:rPr>
        <w:t>八</w:t>
      </w:r>
      <w:r>
        <w:rPr>
          <w:rFonts w:hint="eastAsia" w:ascii="仿宋" w:hAnsi="仿宋" w:cs="仿宋"/>
          <w:b/>
          <w:color w:val="auto"/>
          <w:sz w:val="32"/>
          <w:highlight w:val="none"/>
        </w:rPr>
        <w:t>、关于资格的声明函</w:t>
      </w:r>
      <w:bookmarkEnd w:id="604"/>
      <w:bookmarkEnd w:id="605"/>
      <w:bookmarkEnd w:id="606"/>
    </w:p>
    <w:p w14:paraId="65E49E7A">
      <w:pPr>
        <w:pStyle w:val="8"/>
        <w:spacing w:before="7"/>
        <w:rPr>
          <w:rFonts w:hint="eastAsia" w:ascii="仿宋" w:hAnsi="仿宋" w:eastAsia="仿宋" w:cs="仿宋"/>
          <w:b/>
          <w:color w:val="auto"/>
          <w:sz w:val="24"/>
          <w:szCs w:val="24"/>
          <w:highlight w:val="none"/>
        </w:rPr>
      </w:pPr>
    </w:p>
    <w:p w14:paraId="6FA92CE8">
      <w:pPr>
        <w:tabs>
          <w:tab w:val="left" w:pos="765"/>
          <w:tab w:val="left" w:pos="3680"/>
        </w:tabs>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（招标人名称）</w:t>
      </w:r>
      <w:r>
        <w:rPr>
          <w:rFonts w:hint="eastAsia" w:ascii="仿宋" w:hAnsi="仿宋" w:eastAsia="仿宋" w:cs="仿宋"/>
          <w:color w:val="auto"/>
          <w:sz w:val="24"/>
          <w:highlight w:val="none"/>
        </w:rPr>
        <w:t>：</w:t>
      </w:r>
    </w:p>
    <w:p w14:paraId="225857DE">
      <w:pPr>
        <w:pStyle w:val="8"/>
        <w:spacing w:before="1"/>
        <w:rPr>
          <w:rFonts w:hint="eastAsia" w:ascii="仿宋" w:hAnsi="仿宋" w:eastAsia="仿宋" w:cs="仿宋"/>
          <w:color w:val="auto"/>
          <w:sz w:val="24"/>
          <w:szCs w:val="24"/>
          <w:highlight w:val="none"/>
        </w:rPr>
      </w:pPr>
    </w:p>
    <w:p w14:paraId="2F4F7F9C">
      <w:pPr>
        <w:tabs>
          <w:tab w:val="left" w:pos="4052"/>
          <w:tab w:val="left" w:pos="5622"/>
        </w:tabs>
        <w:spacing w:before="74"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关于贵方项目编号</w:t>
      </w:r>
      <w:r>
        <w:rPr>
          <w:rFonts w:hint="eastAsia" w:ascii="仿宋" w:hAnsi="仿宋" w:eastAsia="仿宋" w:cs="仿宋"/>
          <w:color w:val="auto"/>
          <w:spacing w:val="3"/>
          <w:sz w:val="24"/>
          <w:highlight w:val="none"/>
        </w:rPr>
        <w:t>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（项目名称）的招标邀请，本签字人愿意参加投标，并声明提交的下列文件是准确的和真实的。</w:t>
      </w:r>
    </w:p>
    <w:p w14:paraId="5526FD4E">
      <w:pPr>
        <w:pStyle w:val="8"/>
        <w:spacing w:before="10"/>
        <w:rPr>
          <w:rFonts w:hint="eastAsia" w:ascii="仿宋" w:hAnsi="仿宋" w:eastAsia="仿宋" w:cs="仿宋"/>
          <w:color w:val="auto"/>
          <w:sz w:val="24"/>
          <w:szCs w:val="24"/>
          <w:highlight w:val="none"/>
        </w:rPr>
      </w:pPr>
    </w:p>
    <w:p w14:paraId="62E0663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1、营业执照</w:t>
      </w:r>
    </w:p>
    <w:p w14:paraId="4B7B941C">
      <w:pPr>
        <w:rPr>
          <w:rFonts w:ascii="仿宋" w:hAnsi="仿宋" w:eastAsia="仿宋" w:cs="仿宋"/>
          <w:color w:val="auto"/>
          <w:sz w:val="24"/>
          <w:highlight w:val="none"/>
        </w:rPr>
      </w:pPr>
      <w:r>
        <w:rPr>
          <w:rFonts w:hint="eastAsia" w:ascii="仿宋" w:hAnsi="仿宋" w:eastAsia="仿宋" w:cs="仿宋"/>
          <w:color w:val="auto"/>
          <w:sz w:val="24"/>
          <w:highlight w:val="none"/>
        </w:rPr>
        <w:t>2、资质证书</w:t>
      </w:r>
    </w:p>
    <w:p w14:paraId="02FAF01B">
      <w:pPr>
        <w:rPr>
          <w:rFonts w:ascii="仿宋" w:hAnsi="仿宋" w:eastAsia="仿宋" w:cs="仿宋"/>
          <w:color w:val="auto"/>
          <w:sz w:val="24"/>
          <w:highlight w:val="none"/>
        </w:rPr>
      </w:pPr>
      <w:r>
        <w:rPr>
          <w:rFonts w:hint="eastAsia" w:ascii="仿宋" w:hAnsi="仿宋" w:eastAsia="仿宋" w:cs="仿宋"/>
          <w:color w:val="auto"/>
          <w:sz w:val="24"/>
          <w:highlight w:val="none"/>
        </w:rPr>
        <w:t>3、项目经理资质</w:t>
      </w:r>
    </w:p>
    <w:p w14:paraId="5AF171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4、法定代表人授权书。</w:t>
      </w:r>
    </w:p>
    <w:p w14:paraId="6C787E1D">
      <w:pPr>
        <w:rPr>
          <w:rFonts w:hint="eastAsia" w:ascii="仿宋" w:hAnsi="仿宋" w:eastAsia="仿宋" w:cs="仿宋"/>
          <w:color w:val="auto"/>
          <w:sz w:val="24"/>
          <w:highlight w:val="none"/>
        </w:rPr>
      </w:pPr>
      <w:r>
        <w:rPr>
          <w:rFonts w:hint="eastAsia" w:ascii="仿宋" w:hAnsi="仿宋" w:eastAsia="仿宋" w:cs="仿宋"/>
          <w:color w:val="auto"/>
          <w:sz w:val="24"/>
          <w:highlight w:val="none"/>
        </w:rPr>
        <w:t>5、委托代理人身份证</w:t>
      </w:r>
      <w:r>
        <w:rPr>
          <w:rFonts w:hint="eastAsia" w:ascii="仿宋" w:hAnsi="仿宋" w:eastAsia="仿宋" w:cs="仿宋"/>
          <w:color w:val="auto"/>
          <w:sz w:val="24"/>
          <w:highlight w:val="none"/>
          <w:lang w:val="en-US" w:eastAsia="zh-CN"/>
        </w:rPr>
        <w:t>原件扫描件</w:t>
      </w:r>
      <w:r>
        <w:rPr>
          <w:rFonts w:hint="eastAsia" w:ascii="仿宋" w:hAnsi="仿宋" w:eastAsia="仿宋" w:cs="仿宋"/>
          <w:color w:val="auto"/>
          <w:sz w:val="24"/>
          <w:highlight w:val="none"/>
        </w:rPr>
        <w:t>。</w:t>
      </w:r>
    </w:p>
    <w:p w14:paraId="4197808C">
      <w:pPr>
        <w:rPr>
          <w:rFonts w:hint="eastAsia" w:ascii="仿宋" w:hAnsi="仿宋" w:eastAsia="仿宋" w:cs="仿宋"/>
          <w:color w:val="auto"/>
          <w:sz w:val="24"/>
          <w:highlight w:val="none"/>
        </w:rPr>
      </w:pPr>
      <w:r>
        <w:rPr>
          <w:rFonts w:hint="eastAsia" w:ascii="仿宋" w:hAnsi="仿宋" w:eastAsia="仿宋" w:cs="仿宋"/>
          <w:color w:val="auto"/>
          <w:sz w:val="24"/>
          <w:highlight w:val="none"/>
        </w:rPr>
        <w:t>6、其它证明文件或证件。</w:t>
      </w:r>
    </w:p>
    <w:p w14:paraId="36C16BAF">
      <w:pPr>
        <w:spacing w:before="1"/>
        <w:rPr>
          <w:rFonts w:hint="eastAsia" w:ascii="仿宋" w:hAnsi="仿宋" w:eastAsia="仿宋" w:cs="仿宋"/>
          <w:color w:val="auto"/>
          <w:sz w:val="24"/>
          <w:highlight w:val="none"/>
        </w:rPr>
      </w:pPr>
      <w:r>
        <w:rPr>
          <w:rFonts w:hint="eastAsia" w:ascii="仿宋" w:hAnsi="仿宋" w:eastAsia="仿宋" w:cs="仿宋"/>
          <w:color w:val="auto"/>
          <w:sz w:val="24"/>
          <w:highlight w:val="none"/>
        </w:rPr>
        <w:t>7、本签字人确认资格文件中的说明是真实的、准确的。</w:t>
      </w:r>
    </w:p>
    <w:p w14:paraId="4644DCE4">
      <w:pPr>
        <w:pStyle w:val="8"/>
        <w:rPr>
          <w:rFonts w:hint="eastAsia" w:ascii="仿宋" w:hAnsi="仿宋" w:eastAsia="仿宋" w:cs="仿宋"/>
          <w:color w:val="auto"/>
          <w:sz w:val="24"/>
          <w:szCs w:val="24"/>
          <w:highlight w:val="none"/>
        </w:rPr>
      </w:pPr>
    </w:p>
    <w:p w14:paraId="47375AA1">
      <w:pPr>
        <w:pStyle w:val="8"/>
        <w:spacing w:before="2"/>
        <w:rPr>
          <w:rFonts w:hint="eastAsia" w:ascii="仿宋" w:hAnsi="仿宋" w:eastAsia="仿宋" w:cs="仿宋"/>
          <w:color w:val="auto"/>
          <w:sz w:val="24"/>
          <w:szCs w:val="24"/>
          <w:highlight w:val="none"/>
        </w:rPr>
      </w:pPr>
    </w:p>
    <w:p w14:paraId="3C3DFEAA">
      <w:pPr>
        <w:tabs>
          <w:tab w:val="left" w:pos="5351"/>
        </w:tabs>
        <w:spacing w:line="360" w:lineRule="auto"/>
        <w:jc w:val="left"/>
        <w:rPr>
          <w:rFonts w:hint="eastAsia" w:ascii="仿宋" w:hAnsi="仿宋" w:eastAsia="仿宋" w:cs="仿宋"/>
          <w:color w:val="auto"/>
          <w:sz w:val="24"/>
          <w:highlight w:val="none"/>
        </w:rPr>
      </w:pPr>
      <w:bookmarkStart w:id="607" w:name="投标人（公章）：____________________法定代表人（签字）："/>
      <w:bookmarkEnd w:id="607"/>
      <w:r>
        <w:rPr>
          <w:rFonts w:hint="eastAsia" w:ascii="仿宋" w:hAnsi="仿宋" w:eastAsia="仿宋" w:cs="仿宋"/>
          <w:color w:val="auto"/>
          <w:sz w:val="24"/>
          <w:highlight w:val="none"/>
        </w:rPr>
        <w:t>投标人（盖</w:t>
      </w:r>
      <w:r>
        <w:rPr>
          <w:rFonts w:hint="eastAsia" w:ascii="仿宋" w:hAnsi="仿宋" w:eastAsia="仿宋" w:cs="仿宋"/>
          <w:color w:val="auto"/>
          <w:sz w:val="24"/>
          <w:highlight w:val="none"/>
          <w:lang w:eastAsia="zh-CN"/>
        </w:rPr>
        <w:t>单位公章</w:t>
      </w:r>
      <w:r>
        <w:rPr>
          <w:rFonts w:hint="eastAsia" w:ascii="仿宋" w:hAnsi="仿宋" w:eastAsia="仿宋" w:cs="仿宋"/>
          <w:color w:val="auto"/>
          <w:sz w:val="24"/>
          <w:highlight w:val="none"/>
        </w:rPr>
        <w:t xml:space="preserve">）：              </w:t>
      </w:r>
    </w:p>
    <w:p w14:paraId="3860C1CB">
      <w:pPr>
        <w:tabs>
          <w:tab w:val="left" w:pos="5351"/>
        </w:tabs>
        <w:spacing w:line="360" w:lineRule="auto"/>
        <w:jc w:val="left"/>
        <w:rPr>
          <w:rFonts w:hint="eastAsia" w:ascii="仿宋" w:hAnsi="仿宋" w:eastAsia="仿宋" w:cs="仿宋"/>
          <w:color w:val="auto"/>
          <w:sz w:val="24"/>
          <w:highlight w:val="none"/>
        </w:rPr>
      </w:pPr>
    </w:p>
    <w:p w14:paraId="44C80B98">
      <w:pPr>
        <w:tabs>
          <w:tab w:val="left" w:pos="5351"/>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法定代表人（签字或盖电子章）：</w:t>
      </w:r>
    </w:p>
    <w:p w14:paraId="4CB463E6">
      <w:pPr>
        <w:spacing w:before="16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投标人代表(签字)：</w:t>
      </w:r>
    </w:p>
    <w:p w14:paraId="61A306F5">
      <w:pPr>
        <w:tabs>
          <w:tab w:val="left" w:pos="4725"/>
        </w:tabs>
        <w:spacing w:before="161"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电话：                           </w:t>
      </w:r>
      <w:bookmarkStart w:id="608" w:name="日期：_七、资格审查资料"/>
      <w:bookmarkEnd w:id="608"/>
      <w:bookmarkStart w:id="609" w:name="_bookmark23"/>
      <w:bookmarkEnd w:id="609"/>
    </w:p>
    <w:p w14:paraId="29EEFC6B">
      <w:pPr>
        <w:tabs>
          <w:tab w:val="left" w:pos="5361"/>
        </w:tabs>
        <w:spacing w:before="161" w:line="360" w:lineRule="auto"/>
        <w:jc w:val="lef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日期：</w:t>
      </w:r>
    </w:p>
    <w:p w14:paraId="5D0EB51A">
      <w:pPr>
        <w:spacing w:before="185" w:line="217" w:lineRule="auto"/>
        <w:jc w:val="center"/>
        <w:rPr>
          <w:rFonts w:hint="eastAsia" w:ascii="仿宋" w:hAnsi="仿宋" w:eastAsia="仿宋" w:cs="宋体"/>
          <w:b/>
          <w:bCs/>
          <w:color w:val="auto"/>
          <w:kern w:val="0"/>
          <w:sz w:val="24"/>
          <w:szCs w:val="22"/>
          <w:highlight w:val="none"/>
          <w:lang w:val="zh-CN" w:bidi="zh-CN"/>
        </w:rPr>
      </w:pPr>
      <w:r>
        <w:rPr>
          <w:rFonts w:ascii="Times New Roman" w:hAnsi="Times New Roman" w:eastAsia="宋体" w:cs="Times New Roman"/>
          <w:color w:val="auto"/>
          <w:highlight w:val="none"/>
        </w:rPr>
        <w:br w:type="page"/>
      </w:r>
      <w:r>
        <w:rPr>
          <w:rFonts w:hint="eastAsia" w:ascii="仿宋" w:hAnsi="仿宋" w:eastAsia="仿宋" w:cs="仿宋"/>
          <w:b/>
          <w:color w:val="auto"/>
          <w:sz w:val="32"/>
          <w:szCs w:val="20"/>
          <w:highlight w:val="none"/>
          <w:lang w:val="zh-CN"/>
        </w:rPr>
        <w:t>信用承诺函</w:t>
      </w:r>
    </w:p>
    <w:p w14:paraId="78C60B63">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致</w:t>
      </w:r>
      <w:r>
        <w:rPr>
          <w:rFonts w:hint="eastAsia" w:ascii="仿宋" w:hAnsi="仿宋" w:eastAsia="仿宋"/>
          <w:color w:val="auto"/>
          <w:szCs w:val="24"/>
          <w:highlight w:val="none"/>
          <w:u w:val="single"/>
        </w:rPr>
        <w:t xml:space="preserve">  (招标人)  </w:t>
      </w:r>
      <w:r>
        <w:rPr>
          <w:rFonts w:hint="eastAsia" w:ascii="仿宋" w:hAnsi="仿宋" w:eastAsia="仿宋"/>
          <w:color w:val="auto"/>
          <w:szCs w:val="24"/>
          <w:highlight w:val="none"/>
        </w:rPr>
        <w:t>：</w:t>
      </w:r>
    </w:p>
    <w:p w14:paraId="1CA080EB">
      <w:pPr>
        <w:pStyle w:val="22"/>
        <w:widowControl/>
        <w:spacing w:line="360" w:lineRule="auto"/>
        <w:ind w:firstLine="480" w:firstLineChars="200"/>
        <w:rPr>
          <w:rFonts w:ascii="仿宋" w:hAnsi="仿宋" w:eastAsia="仿宋"/>
          <w:color w:val="auto"/>
          <w:szCs w:val="24"/>
          <w:highlight w:val="none"/>
          <w:u w:val="single"/>
          <w:lang w:val="en-US"/>
        </w:rPr>
      </w:pPr>
      <w:r>
        <w:rPr>
          <w:rFonts w:hint="eastAsia" w:ascii="仿宋" w:hAnsi="仿宋" w:eastAsia="仿宋"/>
          <w:color w:val="auto"/>
          <w:szCs w:val="24"/>
          <w:highlight w:val="none"/>
        </w:rPr>
        <w:t>单位名称：</w:t>
      </w:r>
      <w:r>
        <w:rPr>
          <w:rFonts w:hint="eastAsia" w:ascii="仿宋" w:hAnsi="仿宋" w:eastAsia="仿宋"/>
          <w:color w:val="auto"/>
          <w:szCs w:val="24"/>
          <w:highlight w:val="none"/>
          <w:u w:val="single"/>
          <w:lang w:val="en-US"/>
        </w:rPr>
        <w:t xml:space="preserve">              </w:t>
      </w:r>
      <w:r>
        <w:rPr>
          <w:rFonts w:hint="eastAsia" w:ascii="仿宋" w:hAnsi="仿宋" w:eastAsia="仿宋"/>
          <w:color w:val="auto"/>
          <w:szCs w:val="24"/>
          <w:highlight w:val="none"/>
          <w:lang w:val="en-US"/>
        </w:rPr>
        <w:t xml:space="preserve">           </w:t>
      </w:r>
      <w:r>
        <w:rPr>
          <w:rFonts w:hint="eastAsia" w:ascii="仿宋" w:hAnsi="仿宋" w:eastAsia="仿宋"/>
          <w:color w:val="auto"/>
          <w:szCs w:val="24"/>
          <w:highlight w:val="none"/>
        </w:rPr>
        <w:t>法定代表人：</w:t>
      </w:r>
      <w:r>
        <w:rPr>
          <w:rFonts w:hint="eastAsia" w:ascii="仿宋" w:hAnsi="仿宋" w:eastAsia="仿宋"/>
          <w:color w:val="auto"/>
          <w:szCs w:val="24"/>
          <w:highlight w:val="none"/>
          <w:u w:val="single"/>
          <w:lang w:val="en-US"/>
        </w:rPr>
        <w:t xml:space="preserve">          </w:t>
      </w:r>
    </w:p>
    <w:p w14:paraId="3B48F002">
      <w:pPr>
        <w:pStyle w:val="22"/>
        <w:widowControl/>
        <w:spacing w:line="360" w:lineRule="auto"/>
        <w:ind w:firstLine="480" w:firstLineChars="200"/>
        <w:rPr>
          <w:rFonts w:ascii="仿宋" w:hAnsi="仿宋" w:eastAsia="仿宋"/>
          <w:color w:val="auto"/>
          <w:szCs w:val="24"/>
          <w:highlight w:val="none"/>
          <w:lang w:val="en-US"/>
        </w:rPr>
      </w:pPr>
      <w:r>
        <w:rPr>
          <w:rFonts w:hint="eastAsia" w:ascii="仿宋" w:hAnsi="仿宋" w:eastAsia="仿宋"/>
          <w:color w:val="auto"/>
          <w:szCs w:val="24"/>
          <w:highlight w:val="none"/>
        </w:rPr>
        <w:t>统一社会信用代码：</w:t>
      </w:r>
      <w:r>
        <w:rPr>
          <w:rFonts w:hint="eastAsia" w:ascii="仿宋" w:hAnsi="仿宋" w:eastAsia="仿宋"/>
          <w:color w:val="auto"/>
          <w:szCs w:val="24"/>
          <w:highlight w:val="none"/>
          <w:u w:val="single"/>
          <w:lang w:val="en-US"/>
        </w:rPr>
        <w:t xml:space="preserve">           </w:t>
      </w:r>
      <w:r>
        <w:rPr>
          <w:rFonts w:hint="eastAsia" w:ascii="仿宋" w:hAnsi="仿宋" w:eastAsia="仿宋"/>
          <w:color w:val="auto"/>
          <w:szCs w:val="24"/>
          <w:highlight w:val="none"/>
          <w:lang w:val="en-US"/>
        </w:rPr>
        <w:t xml:space="preserve">      </w:t>
      </w:r>
      <w:r>
        <w:rPr>
          <w:rFonts w:hint="eastAsia" w:ascii="仿宋" w:hAnsi="仿宋" w:eastAsia="仿宋"/>
          <w:color w:val="auto"/>
          <w:szCs w:val="24"/>
          <w:highlight w:val="none"/>
        </w:rPr>
        <w:t>联系地址和电话：</w:t>
      </w:r>
      <w:r>
        <w:rPr>
          <w:rFonts w:hint="eastAsia" w:ascii="仿宋" w:hAnsi="仿宋" w:eastAsia="仿宋"/>
          <w:color w:val="auto"/>
          <w:szCs w:val="24"/>
          <w:highlight w:val="none"/>
          <w:u w:val="single"/>
          <w:lang w:val="en-US"/>
        </w:rPr>
        <w:t xml:space="preserve">        </w:t>
      </w:r>
    </w:p>
    <w:p w14:paraId="5FA9C0B7">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我单位自愿作出以下承诺：</w:t>
      </w:r>
    </w:p>
    <w:p w14:paraId="4270A2C4">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一、我单位自愿参加本次招标活动，严格遵守《中华人民共和国招标投标法》及相关法律法规，依法诚信经营，无条件遵守本次招标活动的各项规定。我单位郑重承诺：</w:t>
      </w:r>
    </w:p>
    <w:p w14:paraId="050C1AE4">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(1)符合国家相关规定的财务状况报告；</w:t>
      </w:r>
    </w:p>
    <w:p w14:paraId="4ED6E968">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(2)依法缴纳税收的证明材料；</w:t>
      </w:r>
    </w:p>
    <w:p w14:paraId="2049C2EB">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(3)依法缴纳社会保障资金的证明材料；</w:t>
      </w:r>
    </w:p>
    <w:p w14:paraId="3EBC0B4C">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(4)具备履行合同所必需的设备和专业技术能力的证明材料；</w:t>
      </w:r>
    </w:p>
    <w:p w14:paraId="19C7B2E4">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(5)参加招标活动前三年内在经营活动中没有重大违法记录的证明材料；</w:t>
      </w:r>
    </w:p>
    <w:p w14:paraId="2909AD8C">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(6)未被列入失信被执行人、</w:t>
      </w:r>
      <w:r>
        <w:rPr>
          <w:rFonts w:hint="eastAsia" w:ascii="仿宋" w:hAnsi="仿宋" w:eastAsia="仿宋"/>
          <w:color w:val="auto"/>
          <w:szCs w:val="24"/>
          <w:highlight w:val="none"/>
          <w:lang w:val="en-US"/>
        </w:rPr>
        <w:t>税收违法黑名单</w:t>
      </w:r>
      <w:r>
        <w:rPr>
          <w:rFonts w:hint="eastAsia" w:ascii="仿宋" w:hAnsi="仿宋" w:eastAsia="仿宋"/>
          <w:color w:val="auto"/>
          <w:szCs w:val="24"/>
          <w:highlight w:val="none"/>
        </w:rPr>
        <w:t>、政府采购严重违法失信行为记录名单的证明材料。</w:t>
      </w:r>
    </w:p>
    <w:p w14:paraId="31C617F8">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二、我单位保证上述承诺事项的真实性。如有弄虚作假或其他违法违规行为，自愿放弃中标资格并按照规定将违背承诺行为作为失信行为记录到社会信用信 息平台，并视同为“提供虚假材料谋取中标”。</w:t>
      </w:r>
    </w:p>
    <w:p w14:paraId="0BBA98B6">
      <w:pPr>
        <w:pStyle w:val="22"/>
        <w:widowControl/>
        <w:spacing w:line="360" w:lineRule="auto"/>
        <w:ind w:firstLine="480" w:firstLineChars="200"/>
        <w:rPr>
          <w:rFonts w:hint="eastAsia" w:ascii="仿宋" w:hAnsi="仿宋" w:eastAsia="仿宋"/>
          <w:color w:val="auto"/>
          <w:szCs w:val="24"/>
          <w:highlight w:val="none"/>
        </w:rPr>
      </w:pPr>
      <w:r>
        <w:rPr>
          <w:rFonts w:hint="eastAsia" w:ascii="仿宋" w:hAnsi="仿宋" w:eastAsia="仿宋"/>
          <w:color w:val="auto"/>
          <w:szCs w:val="24"/>
          <w:highlight w:val="none"/>
        </w:rPr>
        <w:t>三、在签订合同前招标人要求提供相关证明材料的， 积极配合招标人提供证 明材料。</w:t>
      </w:r>
    </w:p>
    <w:p w14:paraId="5C0FE595">
      <w:pPr>
        <w:pStyle w:val="22"/>
        <w:widowControl/>
        <w:spacing w:line="360" w:lineRule="auto"/>
        <w:rPr>
          <w:rFonts w:hint="eastAsia" w:ascii="仿宋" w:hAnsi="仿宋" w:eastAsia="仿宋"/>
          <w:color w:val="auto"/>
          <w:szCs w:val="24"/>
          <w:highlight w:val="none"/>
        </w:rPr>
      </w:pPr>
    </w:p>
    <w:p w14:paraId="6D8BEFBA">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投 标 人：(盖</w:t>
      </w:r>
      <w:r>
        <w:rPr>
          <w:rFonts w:hint="eastAsia" w:ascii="仿宋" w:hAnsi="仿宋" w:eastAsia="仿宋"/>
          <w:color w:val="auto"/>
          <w:szCs w:val="24"/>
          <w:highlight w:val="none"/>
          <w:lang w:eastAsia="zh-CN"/>
        </w:rPr>
        <w:t>单位公章</w:t>
      </w:r>
      <w:r>
        <w:rPr>
          <w:rFonts w:hint="eastAsia" w:ascii="仿宋" w:hAnsi="仿宋" w:eastAsia="仿宋"/>
          <w:color w:val="auto"/>
          <w:szCs w:val="24"/>
          <w:highlight w:val="none"/>
        </w:rPr>
        <w:t>)</w:t>
      </w:r>
    </w:p>
    <w:p w14:paraId="05E9B7D1">
      <w:pPr>
        <w:pStyle w:val="22"/>
        <w:widowControl/>
        <w:spacing w:line="360" w:lineRule="auto"/>
        <w:rPr>
          <w:rFonts w:hint="eastAsia" w:ascii="仿宋" w:hAnsi="仿宋" w:eastAsia="仿宋"/>
          <w:color w:val="auto"/>
          <w:szCs w:val="24"/>
          <w:highlight w:val="none"/>
        </w:rPr>
      </w:pPr>
    </w:p>
    <w:p w14:paraId="288F328B">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法定代表人或其委托代理人：(签字或盖</w:t>
      </w:r>
      <w:r>
        <w:rPr>
          <w:rFonts w:hint="eastAsia" w:ascii="仿宋" w:hAnsi="仿宋" w:eastAsia="仿宋"/>
          <w:color w:val="auto"/>
          <w:szCs w:val="24"/>
          <w:highlight w:val="none"/>
          <w:lang w:val="en-US"/>
        </w:rPr>
        <w:t>电子</w:t>
      </w:r>
      <w:r>
        <w:rPr>
          <w:rFonts w:hint="eastAsia" w:ascii="仿宋" w:hAnsi="仿宋" w:eastAsia="仿宋"/>
          <w:color w:val="auto"/>
          <w:szCs w:val="24"/>
          <w:highlight w:val="none"/>
        </w:rPr>
        <w:t>章)</w:t>
      </w:r>
    </w:p>
    <w:p w14:paraId="642A7BD8">
      <w:pPr>
        <w:pStyle w:val="22"/>
        <w:widowControl/>
        <w:spacing w:line="360" w:lineRule="auto"/>
        <w:rPr>
          <w:rFonts w:hint="eastAsia" w:ascii="仿宋" w:hAnsi="仿宋" w:eastAsia="仿宋"/>
          <w:color w:val="auto"/>
          <w:szCs w:val="24"/>
          <w:highlight w:val="none"/>
        </w:rPr>
      </w:pPr>
    </w:p>
    <w:p w14:paraId="08AA9205">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 xml:space="preserve">日期：    年  </w:t>
      </w:r>
      <w:r>
        <w:rPr>
          <w:rFonts w:hint="eastAsia" w:ascii="仿宋" w:hAnsi="仿宋" w:eastAsia="仿宋"/>
          <w:color w:val="auto"/>
          <w:szCs w:val="24"/>
          <w:highlight w:val="none"/>
          <w:lang w:val="en-US"/>
        </w:rPr>
        <w:t xml:space="preserve"> </w:t>
      </w:r>
      <w:r>
        <w:rPr>
          <w:rFonts w:hint="eastAsia" w:ascii="仿宋" w:hAnsi="仿宋" w:eastAsia="仿宋"/>
          <w:color w:val="auto"/>
          <w:szCs w:val="24"/>
          <w:highlight w:val="none"/>
        </w:rPr>
        <w:t>月  日</w:t>
      </w:r>
    </w:p>
    <w:p w14:paraId="35D6FBA7">
      <w:pPr>
        <w:pStyle w:val="22"/>
        <w:widowControl/>
        <w:spacing w:line="360" w:lineRule="auto"/>
        <w:rPr>
          <w:rFonts w:hint="eastAsia" w:ascii="仿宋" w:hAnsi="仿宋" w:eastAsia="仿宋"/>
          <w:color w:val="auto"/>
          <w:szCs w:val="24"/>
          <w:highlight w:val="none"/>
        </w:rPr>
      </w:pPr>
      <w:r>
        <w:rPr>
          <w:rFonts w:hint="eastAsia" w:ascii="仿宋" w:hAnsi="仿宋" w:eastAsia="仿宋"/>
          <w:color w:val="auto"/>
          <w:szCs w:val="24"/>
          <w:highlight w:val="none"/>
        </w:rPr>
        <w:t>注：投标人须在投标文件中按此模板提供承诺函，未提供视为未实质性响应招标文件要求，按无效投标处理。</w:t>
      </w:r>
    </w:p>
    <w:p w14:paraId="2B6B91F4">
      <w:pPr>
        <w:pStyle w:val="22"/>
        <w:widowControl/>
        <w:spacing w:line="360" w:lineRule="auto"/>
        <w:jc w:val="center"/>
        <w:rPr>
          <w:rFonts w:hint="eastAsia" w:ascii="仿宋" w:hAnsi="仿宋" w:eastAsia="仿宋" w:cs="仿宋"/>
          <w:b/>
          <w:color w:val="auto"/>
          <w:kern w:val="2"/>
          <w:sz w:val="32"/>
          <w:szCs w:val="20"/>
          <w:highlight w:val="none"/>
          <w:lang w:bidi="ar-SA"/>
        </w:rPr>
      </w:pPr>
      <w:r>
        <w:rPr>
          <w:rFonts w:hint="eastAsia" w:ascii="宋体" w:hAnsi="宋体" w:eastAsia="宋体"/>
          <w:b/>
          <w:bCs/>
          <w:color w:val="auto"/>
          <w:sz w:val="28"/>
          <w:szCs w:val="24"/>
          <w:highlight w:val="none"/>
        </w:rPr>
        <w:br w:type="page"/>
      </w:r>
      <w:r>
        <w:rPr>
          <w:rFonts w:hint="eastAsia" w:ascii="仿宋" w:hAnsi="仿宋" w:eastAsia="仿宋" w:cs="仿宋"/>
          <w:b/>
          <w:color w:val="auto"/>
          <w:kern w:val="2"/>
          <w:sz w:val="32"/>
          <w:szCs w:val="20"/>
          <w:highlight w:val="none"/>
          <w:lang w:bidi="ar-SA"/>
        </w:rPr>
        <w:t>全市房屋建筑和市政基础设施工程项目</w:t>
      </w:r>
    </w:p>
    <w:p w14:paraId="10F6B83D">
      <w:pPr>
        <w:pStyle w:val="22"/>
        <w:widowControl/>
        <w:spacing w:line="360" w:lineRule="auto"/>
        <w:jc w:val="center"/>
        <w:rPr>
          <w:rFonts w:hint="eastAsia" w:ascii="仿宋" w:hAnsi="仿宋" w:eastAsia="仿宋" w:cs="仿宋"/>
          <w:b/>
          <w:color w:val="auto"/>
          <w:kern w:val="2"/>
          <w:sz w:val="32"/>
          <w:szCs w:val="20"/>
          <w:highlight w:val="none"/>
          <w:lang w:bidi="ar-SA"/>
        </w:rPr>
      </w:pPr>
      <w:r>
        <w:rPr>
          <w:rFonts w:hint="eastAsia" w:ascii="仿宋" w:hAnsi="仿宋" w:eastAsia="仿宋" w:cs="仿宋"/>
          <w:b/>
          <w:color w:val="auto"/>
          <w:kern w:val="2"/>
          <w:sz w:val="32"/>
          <w:szCs w:val="20"/>
          <w:highlight w:val="none"/>
          <w:lang w:bidi="ar-SA"/>
        </w:rPr>
        <w:t>招标投标活动承诺书</w:t>
      </w:r>
    </w:p>
    <w:p w14:paraId="6CD51FEA">
      <w:pPr>
        <w:pStyle w:val="22"/>
        <w:widowControl/>
        <w:spacing w:line="360" w:lineRule="auto"/>
        <w:rPr>
          <w:rFonts w:hint="eastAsia" w:ascii="仿宋" w:hAnsi="仿宋" w:eastAsia="仿宋"/>
          <w:color w:val="auto"/>
          <w:highlight w:val="none"/>
        </w:rPr>
      </w:pPr>
    </w:p>
    <w:p w14:paraId="423385EE">
      <w:pPr>
        <w:pStyle w:val="22"/>
        <w:widowControl/>
        <w:spacing w:line="360" w:lineRule="auto"/>
        <w:ind w:firstLine="480" w:firstLineChars="200"/>
        <w:rPr>
          <w:rFonts w:hint="eastAsia" w:ascii="仿宋" w:hAnsi="仿宋" w:eastAsia="仿宋"/>
          <w:color w:val="auto"/>
          <w:highlight w:val="none"/>
        </w:rPr>
      </w:pPr>
      <w:r>
        <w:rPr>
          <w:rFonts w:hint="eastAsia" w:ascii="仿宋" w:hAnsi="仿宋" w:eastAsia="仿宋"/>
          <w:color w:val="auto"/>
          <w:highlight w:val="none"/>
        </w:rPr>
        <w:t>我单位承诺，在项目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14:paraId="4228E16B">
      <w:pPr>
        <w:pStyle w:val="22"/>
        <w:widowControl/>
        <w:spacing w:line="360" w:lineRule="auto"/>
        <w:ind w:firstLine="480" w:firstLineChars="200"/>
        <w:rPr>
          <w:rFonts w:hint="eastAsia" w:ascii="仿宋" w:hAnsi="仿宋" w:eastAsia="仿宋"/>
          <w:color w:val="auto"/>
          <w:highlight w:val="none"/>
        </w:rPr>
      </w:pPr>
    </w:p>
    <w:p w14:paraId="06B91ECD">
      <w:pPr>
        <w:pStyle w:val="22"/>
        <w:widowControl/>
        <w:spacing w:line="360" w:lineRule="auto"/>
        <w:ind w:firstLine="480" w:firstLineChars="200"/>
        <w:rPr>
          <w:rFonts w:hint="eastAsia" w:ascii="仿宋" w:hAnsi="仿宋" w:eastAsia="仿宋"/>
          <w:color w:val="auto"/>
          <w:highlight w:val="none"/>
        </w:rPr>
      </w:pPr>
    </w:p>
    <w:p w14:paraId="44C17917">
      <w:pPr>
        <w:pStyle w:val="22"/>
        <w:widowControl/>
        <w:spacing w:line="360" w:lineRule="auto"/>
        <w:rPr>
          <w:rFonts w:hint="eastAsia" w:ascii="仿宋" w:hAnsi="仿宋" w:eastAsia="仿宋"/>
          <w:color w:val="auto"/>
          <w:highlight w:val="none"/>
        </w:rPr>
      </w:pPr>
      <w:r>
        <w:rPr>
          <w:rFonts w:hint="eastAsia" w:ascii="仿宋" w:hAnsi="仿宋" w:eastAsia="仿宋"/>
          <w:color w:val="auto"/>
          <w:highlight w:val="none"/>
        </w:rPr>
        <w:t>承诺人：</w:t>
      </w:r>
      <w:r>
        <w:rPr>
          <w:rFonts w:hint="eastAsia" w:ascii="仿宋" w:hAnsi="仿宋" w:eastAsia="仿宋"/>
          <w:color w:val="auto"/>
          <w:highlight w:val="none"/>
          <w:u w:val="single"/>
          <w:lang w:val="en-US"/>
        </w:rPr>
        <w:t xml:space="preserve">                    </w:t>
      </w:r>
      <w:r>
        <w:rPr>
          <w:rFonts w:hint="eastAsia" w:ascii="仿宋" w:hAnsi="仿宋" w:eastAsia="仿宋"/>
          <w:color w:val="auto"/>
          <w:highlight w:val="none"/>
        </w:rPr>
        <w:t>(盖</w:t>
      </w:r>
      <w:r>
        <w:rPr>
          <w:rFonts w:hint="eastAsia" w:ascii="仿宋" w:hAnsi="仿宋" w:eastAsia="仿宋"/>
          <w:color w:val="auto"/>
          <w:highlight w:val="none"/>
          <w:lang w:val="en-US" w:eastAsia="zh-CN"/>
        </w:rPr>
        <w:t>单位公章</w:t>
      </w:r>
      <w:r>
        <w:rPr>
          <w:rFonts w:hint="eastAsia" w:ascii="仿宋" w:hAnsi="仿宋" w:eastAsia="仿宋"/>
          <w:color w:val="auto"/>
          <w:highlight w:val="none"/>
        </w:rPr>
        <w:t>)</w:t>
      </w:r>
    </w:p>
    <w:p w14:paraId="47543980">
      <w:pPr>
        <w:pStyle w:val="22"/>
        <w:widowControl/>
        <w:spacing w:line="360" w:lineRule="auto"/>
        <w:ind w:firstLine="480" w:firstLineChars="200"/>
        <w:rPr>
          <w:rFonts w:hint="eastAsia" w:ascii="仿宋" w:hAnsi="仿宋" w:eastAsia="仿宋"/>
          <w:color w:val="auto"/>
          <w:highlight w:val="none"/>
        </w:rPr>
      </w:pPr>
    </w:p>
    <w:p w14:paraId="343111E1">
      <w:pPr>
        <w:pStyle w:val="22"/>
        <w:widowControl/>
        <w:spacing w:line="360" w:lineRule="auto"/>
        <w:rPr>
          <w:rFonts w:hint="eastAsia" w:ascii="仿宋" w:hAnsi="仿宋" w:eastAsia="仿宋"/>
          <w:color w:val="auto"/>
          <w:highlight w:val="none"/>
        </w:rPr>
      </w:pPr>
      <w:r>
        <w:rPr>
          <w:rFonts w:hint="eastAsia" w:ascii="仿宋" w:hAnsi="仿宋" w:eastAsia="仿宋"/>
          <w:color w:val="auto"/>
          <w:highlight w:val="none"/>
        </w:rPr>
        <w:t>法定代表人或委托代理人：</w:t>
      </w:r>
      <w:r>
        <w:rPr>
          <w:rFonts w:hint="eastAsia" w:ascii="仿宋" w:hAnsi="仿宋" w:eastAsia="仿宋"/>
          <w:color w:val="auto"/>
          <w:highlight w:val="none"/>
          <w:u w:val="single"/>
          <w:lang w:val="en-US"/>
        </w:rPr>
        <w:t xml:space="preserve">        </w:t>
      </w:r>
      <w:r>
        <w:rPr>
          <w:rFonts w:hint="eastAsia" w:ascii="仿宋" w:hAnsi="仿宋" w:eastAsia="仿宋"/>
          <w:color w:val="auto"/>
          <w:highlight w:val="none"/>
        </w:rPr>
        <w:t>(签字或盖</w:t>
      </w:r>
      <w:r>
        <w:rPr>
          <w:rFonts w:hint="eastAsia" w:ascii="仿宋" w:hAnsi="仿宋" w:eastAsia="仿宋"/>
          <w:color w:val="auto"/>
          <w:highlight w:val="none"/>
          <w:lang w:val="en-US"/>
        </w:rPr>
        <w:t>电子</w:t>
      </w:r>
      <w:r>
        <w:rPr>
          <w:rFonts w:hint="eastAsia" w:ascii="仿宋" w:hAnsi="仿宋" w:eastAsia="仿宋"/>
          <w:color w:val="auto"/>
          <w:highlight w:val="none"/>
        </w:rPr>
        <w:t>章)：</w:t>
      </w:r>
    </w:p>
    <w:p w14:paraId="787D8816">
      <w:pPr>
        <w:pStyle w:val="22"/>
        <w:widowControl/>
        <w:spacing w:line="360" w:lineRule="auto"/>
        <w:ind w:firstLine="5040" w:firstLineChars="2100"/>
        <w:rPr>
          <w:rFonts w:hint="eastAsia" w:ascii="仿宋" w:hAnsi="仿宋" w:eastAsia="仿宋"/>
          <w:color w:val="auto"/>
          <w:highlight w:val="none"/>
        </w:rPr>
      </w:pPr>
    </w:p>
    <w:p w14:paraId="1F78CEE2">
      <w:pPr>
        <w:pStyle w:val="22"/>
        <w:widowControl/>
        <w:spacing w:line="360" w:lineRule="auto"/>
        <w:rPr>
          <w:rFonts w:ascii="仿宋" w:hAnsi="仿宋" w:eastAsia="仿宋"/>
          <w:color w:val="auto"/>
          <w:highlight w:val="none"/>
          <w:u w:val="single"/>
          <w:lang w:val="en-US"/>
        </w:rPr>
      </w:pPr>
      <w:r>
        <w:rPr>
          <w:rFonts w:hint="eastAsia" w:ascii="仿宋" w:hAnsi="仿宋" w:eastAsia="仿宋"/>
          <w:color w:val="auto"/>
          <w:highlight w:val="none"/>
        </w:rPr>
        <w:t>联系电话：</w:t>
      </w:r>
      <w:r>
        <w:rPr>
          <w:rFonts w:hint="eastAsia" w:ascii="仿宋" w:hAnsi="仿宋" w:eastAsia="仿宋"/>
          <w:color w:val="auto"/>
          <w:highlight w:val="none"/>
          <w:u w:val="single"/>
          <w:lang w:val="en-US"/>
        </w:rPr>
        <w:t xml:space="preserve">                 </w:t>
      </w:r>
    </w:p>
    <w:p w14:paraId="78BBBB04">
      <w:pPr>
        <w:pStyle w:val="22"/>
        <w:widowControl/>
        <w:spacing w:line="360" w:lineRule="auto"/>
        <w:rPr>
          <w:rFonts w:hint="eastAsia" w:ascii="仿宋" w:hAnsi="仿宋" w:eastAsia="仿宋"/>
          <w:color w:val="auto"/>
          <w:highlight w:val="none"/>
        </w:rPr>
      </w:pPr>
    </w:p>
    <w:p w14:paraId="42CBC913">
      <w:pPr>
        <w:pStyle w:val="22"/>
        <w:widowControl/>
        <w:spacing w:line="360" w:lineRule="auto"/>
        <w:rPr>
          <w:rFonts w:hint="eastAsia" w:ascii="仿宋" w:hAnsi="仿宋" w:eastAsia="仿宋"/>
          <w:color w:val="auto"/>
          <w:highlight w:val="none"/>
        </w:rPr>
      </w:pPr>
      <w:r>
        <w:rPr>
          <w:rFonts w:hint="eastAsia" w:ascii="仿宋" w:hAnsi="仿宋" w:eastAsia="仿宋"/>
          <w:color w:val="auto"/>
          <w:highlight w:val="none"/>
        </w:rPr>
        <w:t xml:space="preserve">日期：    年  </w:t>
      </w:r>
      <w:r>
        <w:rPr>
          <w:rFonts w:hint="eastAsia" w:ascii="仿宋" w:hAnsi="仿宋" w:eastAsia="仿宋"/>
          <w:color w:val="auto"/>
          <w:highlight w:val="none"/>
          <w:lang w:val="en-US"/>
        </w:rPr>
        <w:t xml:space="preserve"> </w:t>
      </w:r>
      <w:r>
        <w:rPr>
          <w:rFonts w:hint="eastAsia" w:ascii="仿宋" w:hAnsi="仿宋" w:eastAsia="仿宋"/>
          <w:color w:val="auto"/>
          <w:highlight w:val="none"/>
        </w:rPr>
        <w:t xml:space="preserve">月  </w:t>
      </w:r>
      <w:r>
        <w:rPr>
          <w:rFonts w:hint="eastAsia" w:ascii="仿宋" w:hAnsi="仿宋" w:eastAsia="仿宋"/>
          <w:color w:val="auto"/>
          <w:highlight w:val="none"/>
          <w:lang w:val="en-US"/>
        </w:rPr>
        <w:t xml:space="preserve"> </w:t>
      </w:r>
      <w:r>
        <w:rPr>
          <w:rFonts w:hint="eastAsia" w:ascii="仿宋" w:hAnsi="仿宋" w:eastAsia="仿宋"/>
          <w:color w:val="auto"/>
          <w:highlight w:val="none"/>
        </w:rPr>
        <w:t>日</w:t>
      </w:r>
    </w:p>
    <w:p w14:paraId="1140978E">
      <w:pPr>
        <w:pStyle w:val="8"/>
        <w:rPr>
          <w:rFonts w:hint="eastAsia" w:ascii="Times New Roman" w:hAnsi="Times New Roman" w:eastAsia="宋体" w:cs="Times New Roman"/>
          <w:color w:val="auto"/>
          <w:highlight w:val="none"/>
        </w:rPr>
      </w:pPr>
    </w:p>
    <w:p w14:paraId="599FD072">
      <w:pPr>
        <w:jc w:val="center"/>
        <w:rPr>
          <w:rFonts w:hint="eastAsia" w:ascii="宋体" w:hAnsi="宋体" w:eastAsia="宋体" w:cs="宋体"/>
          <w:b/>
          <w:color w:val="auto"/>
          <w:kern w:val="0"/>
          <w:sz w:val="28"/>
          <w:szCs w:val="28"/>
          <w:highlight w:val="none"/>
        </w:rPr>
      </w:pPr>
    </w:p>
    <w:p w14:paraId="3C4BB46F">
      <w:pPr>
        <w:jc w:val="center"/>
        <w:rPr>
          <w:rFonts w:hint="eastAsia" w:ascii="宋体" w:hAnsi="宋体" w:eastAsia="宋体" w:cs="宋体"/>
          <w:b/>
          <w:color w:val="auto"/>
          <w:kern w:val="0"/>
          <w:sz w:val="28"/>
          <w:szCs w:val="28"/>
          <w:highlight w:val="none"/>
        </w:rPr>
      </w:pPr>
    </w:p>
    <w:p w14:paraId="375297D7">
      <w:pPr>
        <w:jc w:val="center"/>
        <w:rPr>
          <w:rFonts w:hint="eastAsia" w:ascii="宋体" w:hAnsi="宋体" w:eastAsia="宋体" w:cs="宋体"/>
          <w:b/>
          <w:color w:val="auto"/>
          <w:kern w:val="0"/>
          <w:sz w:val="28"/>
          <w:szCs w:val="28"/>
          <w:highlight w:val="none"/>
        </w:rPr>
      </w:pPr>
    </w:p>
    <w:p w14:paraId="0177A5A8">
      <w:pPr>
        <w:jc w:val="center"/>
        <w:rPr>
          <w:rFonts w:hint="eastAsia" w:ascii="宋体" w:hAnsi="宋体" w:eastAsia="宋体" w:cs="宋体"/>
          <w:b/>
          <w:color w:val="auto"/>
          <w:kern w:val="0"/>
          <w:sz w:val="28"/>
          <w:szCs w:val="28"/>
          <w:highlight w:val="none"/>
        </w:rPr>
      </w:pPr>
    </w:p>
    <w:p w14:paraId="2704A7EC">
      <w:pPr>
        <w:jc w:val="center"/>
        <w:rPr>
          <w:rFonts w:hint="eastAsia" w:ascii="宋体" w:hAnsi="宋体" w:eastAsia="宋体" w:cs="宋体"/>
          <w:b/>
          <w:color w:val="auto"/>
          <w:kern w:val="0"/>
          <w:sz w:val="28"/>
          <w:szCs w:val="28"/>
          <w:highlight w:val="none"/>
        </w:rPr>
      </w:pPr>
    </w:p>
    <w:p w14:paraId="3EB1A9CC">
      <w:pPr>
        <w:spacing w:line="440" w:lineRule="exact"/>
        <w:rPr>
          <w:rFonts w:hint="eastAsia" w:ascii="仿宋" w:hAnsi="仿宋" w:eastAsia="仿宋" w:cs="仿宋"/>
          <w:color w:val="auto"/>
          <w:sz w:val="20"/>
          <w:szCs w:val="20"/>
          <w:highlight w:val="none"/>
        </w:rPr>
      </w:pPr>
      <w:r>
        <w:rPr>
          <w:rFonts w:ascii="宋体" w:hAnsi="宋体" w:eastAsia="宋体" w:cs="宋体"/>
          <w:b/>
          <w:color w:val="auto"/>
          <w:kern w:val="0"/>
          <w:sz w:val="28"/>
          <w:szCs w:val="28"/>
          <w:highlight w:val="none"/>
        </w:rPr>
        <w:br w:type="page"/>
      </w:r>
    </w:p>
    <w:p w14:paraId="6E7DB6BD">
      <w:pPr>
        <w:pStyle w:val="35"/>
        <w:spacing w:before="156"/>
        <w:jc w:val="center"/>
        <w:rPr>
          <w:rFonts w:hint="eastAsia" w:ascii="仿宋" w:hAnsi="仿宋" w:cs="仿宋"/>
          <w:b/>
          <w:color w:val="auto"/>
          <w:sz w:val="32"/>
          <w:highlight w:val="none"/>
        </w:rPr>
      </w:pPr>
      <w:bookmarkStart w:id="610" w:name="_Toc38209196"/>
      <w:bookmarkStart w:id="611" w:name="_Toc31005"/>
      <w:bookmarkStart w:id="612" w:name="_Toc7894"/>
      <w:bookmarkStart w:id="613" w:name="_Toc19064"/>
      <w:r>
        <w:rPr>
          <w:rFonts w:hint="eastAsia" w:ascii="仿宋" w:hAnsi="仿宋" w:cs="仿宋"/>
          <w:b/>
          <w:color w:val="auto"/>
          <w:sz w:val="32"/>
          <w:highlight w:val="none"/>
          <w:lang w:val="en-US" w:eastAsia="zh-CN"/>
        </w:rPr>
        <w:t>九</w:t>
      </w:r>
      <w:r>
        <w:rPr>
          <w:rFonts w:hint="eastAsia" w:ascii="仿宋" w:hAnsi="仿宋" w:cs="仿宋"/>
          <w:b/>
          <w:color w:val="auto"/>
          <w:sz w:val="32"/>
          <w:highlight w:val="none"/>
        </w:rPr>
        <w:t>、资格审查资料</w:t>
      </w:r>
      <w:bookmarkEnd w:id="610"/>
      <w:bookmarkEnd w:id="611"/>
      <w:bookmarkEnd w:id="612"/>
      <w:bookmarkEnd w:id="613"/>
    </w:p>
    <w:p w14:paraId="1D7D99E4">
      <w:pPr>
        <w:pStyle w:val="52"/>
        <w:spacing w:before="156" w:beforeLines="50" w:line="360" w:lineRule="auto"/>
        <w:jc w:val="center"/>
        <w:rPr>
          <w:rFonts w:hint="eastAsia" w:ascii="仿宋" w:hAnsi="仿宋" w:eastAsia="仿宋" w:cs="仿宋"/>
          <w:b/>
          <w:color w:val="auto"/>
          <w:szCs w:val="23"/>
          <w:highlight w:val="none"/>
        </w:rPr>
      </w:pPr>
      <w:bookmarkStart w:id="614" w:name="_bookmark164"/>
      <w:bookmarkEnd w:id="614"/>
      <w:bookmarkStart w:id="615" w:name="_Toc38209197"/>
      <w:bookmarkStart w:id="616" w:name="_Toc106712911"/>
      <w:bookmarkStart w:id="617" w:name="_Toc328"/>
      <w:bookmarkStart w:id="618" w:name="_Toc23033"/>
      <w:bookmarkStart w:id="619" w:name="_Toc4494"/>
      <w:r>
        <w:rPr>
          <w:rFonts w:hint="eastAsia" w:ascii="仿宋" w:hAnsi="仿宋" w:eastAsia="仿宋" w:cs="仿宋"/>
          <w:b/>
          <w:color w:val="auto"/>
          <w:szCs w:val="23"/>
          <w:highlight w:val="none"/>
        </w:rPr>
        <w:t>（一）基本情况表</w:t>
      </w:r>
      <w:bookmarkEnd w:id="615"/>
      <w:bookmarkEnd w:id="616"/>
      <w:bookmarkEnd w:id="617"/>
      <w:bookmarkEnd w:id="618"/>
      <w:bookmarkEnd w:id="619"/>
    </w:p>
    <w:tbl>
      <w:tblPr>
        <w:tblStyle w:val="26"/>
        <w:tblW w:w="92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1"/>
        <w:gridCol w:w="1139"/>
        <w:gridCol w:w="992"/>
        <w:gridCol w:w="1275"/>
        <w:gridCol w:w="78"/>
        <w:gridCol w:w="1310"/>
        <w:gridCol w:w="156"/>
        <w:gridCol w:w="818"/>
        <w:gridCol w:w="1855"/>
      </w:tblGrid>
      <w:tr w14:paraId="43194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742535D5">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623" w:type="dxa"/>
            <w:gridSpan w:val="8"/>
            <w:tcBorders>
              <w:top w:val="single" w:color="auto" w:sz="4" w:space="0"/>
              <w:left w:val="single" w:color="auto" w:sz="4" w:space="0"/>
              <w:bottom w:val="single" w:color="auto" w:sz="4" w:space="0"/>
              <w:right w:val="single" w:color="auto" w:sz="4" w:space="0"/>
            </w:tcBorders>
            <w:noWrap w:val="0"/>
            <w:vAlign w:val="center"/>
          </w:tcPr>
          <w:p w14:paraId="6B849557">
            <w:pPr>
              <w:topLinePunct/>
              <w:spacing w:line="440" w:lineRule="exact"/>
              <w:jc w:val="center"/>
              <w:rPr>
                <w:rFonts w:ascii="仿宋" w:hAnsi="仿宋" w:eastAsia="仿宋" w:cs="仿宋"/>
                <w:color w:val="auto"/>
                <w:sz w:val="24"/>
                <w:highlight w:val="none"/>
              </w:rPr>
            </w:pPr>
          </w:p>
        </w:tc>
      </w:tr>
      <w:tr w14:paraId="32F71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5EBA3A80">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484" w:type="dxa"/>
            <w:gridSpan w:val="4"/>
            <w:tcBorders>
              <w:top w:val="single" w:color="auto" w:sz="4" w:space="0"/>
              <w:left w:val="single" w:color="auto" w:sz="4" w:space="0"/>
              <w:bottom w:val="single" w:color="auto" w:sz="4" w:space="0"/>
              <w:right w:val="single" w:color="auto" w:sz="4" w:space="0"/>
            </w:tcBorders>
            <w:noWrap w:val="0"/>
            <w:vAlign w:val="center"/>
          </w:tcPr>
          <w:p w14:paraId="30CEE6B9">
            <w:pPr>
              <w:topLinePunct/>
              <w:spacing w:line="440" w:lineRule="exact"/>
              <w:jc w:val="center"/>
              <w:rPr>
                <w:rFonts w:ascii="仿宋" w:hAnsi="仿宋" w:eastAsia="仿宋" w:cs="仿宋"/>
                <w:color w:val="auto"/>
                <w:sz w:val="24"/>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C55FCFD">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2829" w:type="dxa"/>
            <w:gridSpan w:val="3"/>
            <w:tcBorders>
              <w:top w:val="single" w:color="auto" w:sz="4" w:space="0"/>
              <w:left w:val="single" w:color="auto" w:sz="4" w:space="0"/>
              <w:bottom w:val="single" w:color="auto" w:sz="4" w:space="0"/>
              <w:right w:val="single" w:color="auto" w:sz="4" w:space="0"/>
            </w:tcBorders>
            <w:noWrap w:val="0"/>
            <w:vAlign w:val="center"/>
          </w:tcPr>
          <w:p w14:paraId="1050D5A0">
            <w:pPr>
              <w:topLinePunct/>
              <w:spacing w:line="440" w:lineRule="exact"/>
              <w:jc w:val="center"/>
              <w:rPr>
                <w:rFonts w:ascii="仿宋" w:hAnsi="仿宋" w:eastAsia="仿宋" w:cs="仿宋"/>
                <w:color w:val="auto"/>
                <w:sz w:val="24"/>
                <w:highlight w:val="none"/>
              </w:rPr>
            </w:pPr>
          </w:p>
        </w:tc>
      </w:tr>
      <w:tr w14:paraId="02957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661" w:type="dxa"/>
            <w:vMerge w:val="restart"/>
            <w:tcBorders>
              <w:top w:val="single" w:color="auto" w:sz="4" w:space="0"/>
              <w:left w:val="single" w:color="auto" w:sz="4" w:space="0"/>
              <w:bottom w:val="single" w:color="auto" w:sz="4" w:space="0"/>
              <w:right w:val="single" w:color="auto" w:sz="4" w:space="0"/>
            </w:tcBorders>
            <w:noWrap w:val="0"/>
            <w:vAlign w:val="center"/>
          </w:tcPr>
          <w:p w14:paraId="7760C6EF">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139" w:type="dxa"/>
            <w:tcBorders>
              <w:top w:val="single" w:color="auto" w:sz="4" w:space="0"/>
              <w:left w:val="single" w:color="auto" w:sz="4" w:space="0"/>
              <w:bottom w:val="single" w:color="auto" w:sz="4" w:space="0"/>
              <w:right w:val="single" w:color="auto" w:sz="4" w:space="0"/>
            </w:tcBorders>
            <w:noWrap w:val="0"/>
            <w:vAlign w:val="center"/>
          </w:tcPr>
          <w:p w14:paraId="74529CD6">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14:paraId="1EBA4839">
            <w:pPr>
              <w:topLinePunct/>
              <w:spacing w:line="440" w:lineRule="exact"/>
              <w:jc w:val="center"/>
              <w:rPr>
                <w:rFonts w:ascii="仿宋" w:hAnsi="仿宋" w:eastAsia="仿宋" w:cs="仿宋"/>
                <w:color w:val="auto"/>
                <w:sz w:val="24"/>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FBD1C07">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 话</w:t>
            </w:r>
          </w:p>
        </w:tc>
        <w:tc>
          <w:tcPr>
            <w:tcW w:w="2829" w:type="dxa"/>
            <w:gridSpan w:val="3"/>
            <w:tcBorders>
              <w:top w:val="single" w:color="auto" w:sz="4" w:space="0"/>
              <w:left w:val="single" w:color="auto" w:sz="4" w:space="0"/>
              <w:bottom w:val="single" w:color="auto" w:sz="4" w:space="0"/>
              <w:right w:val="single" w:color="auto" w:sz="4" w:space="0"/>
            </w:tcBorders>
            <w:noWrap w:val="0"/>
            <w:vAlign w:val="center"/>
          </w:tcPr>
          <w:p w14:paraId="1A08B6C6">
            <w:pPr>
              <w:topLinePunct/>
              <w:spacing w:line="440" w:lineRule="exact"/>
              <w:jc w:val="center"/>
              <w:rPr>
                <w:rFonts w:ascii="仿宋" w:hAnsi="仿宋" w:eastAsia="仿宋" w:cs="仿宋"/>
                <w:color w:val="auto"/>
                <w:sz w:val="24"/>
                <w:highlight w:val="none"/>
              </w:rPr>
            </w:pPr>
          </w:p>
        </w:tc>
      </w:tr>
      <w:tr w14:paraId="1E9BB8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661" w:type="dxa"/>
            <w:vMerge w:val="continue"/>
            <w:tcBorders>
              <w:top w:val="single" w:color="auto" w:sz="4" w:space="0"/>
              <w:left w:val="single" w:color="auto" w:sz="4" w:space="0"/>
              <w:bottom w:val="single" w:color="auto" w:sz="4" w:space="0"/>
              <w:right w:val="single" w:color="auto" w:sz="4" w:space="0"/>
            </w:tcBorders>
            <w:noWrap w:val="0"/>
            <w:vAlign w:val="center"/>
          </w:tcPr>
          <w:p w14:paraId="603BBADD">
            <w:pPr>
              <w:widowControl/>
              <w:jc w:val="left"/>
              <w:rPr>
                <w:rFonts w:ascii="仿宋" w:hAnsi="仿宋" w:eastAsia="仿宋" w:cs="仿宋"/>
                <w:color w:val="auto"/>
                <w:sz w:val="24"/>
                <w:highlight w:val="none"/>
              </w:rPr>
            </w:pPr>
          </w:p>
        </w:tc>
        <w:tc>
          <w:tcPr>
            <w:tcW w:w="1139" w:type="dxa"/>
            <w:tcBorders>
              <w:top w:val="single" w:color="auto" w:sz="4" w:space="0"/>
              <w:left w:val="single" w:color="auto" w:sz="4" w:space="0"/>
              <w:bottom w:val="single" w:color="auto" w:sz="4" w:space="0"/>
              <w:right w:val="single" w:color="auto" w:sz="4" w:space="0"/>
            </w:tcBorders>
            <w:noWrap w:val="0"/>
            <w:vAlign w:val="center"/>
          </w:tcPr>
          <w:p w14:paraId="144622EE">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传  真</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14:paraId="29C6B896">
            <w:pPr>
              <w:topLinePunct/>
              <w:spacing w:line="440" w:lineRule="exact"/>
              <w:jc w:val="center"/>
              <w:rPr>
                <w:rFonts w:ascii="仿宋" w:hAnsi="仿宋" w:eastAsia="仿宋" w:cs="仿宋"/>
                <w:color w:val="auto"/>
                <w:sz w:val="24"/>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CB22EF9">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网 址</w:t>
            </w:r>
          </w:p>
        </w:tc>
        <w:tc>
          <w:tcPr>
            <w:tcW w:w="2829" w:type="dxa"/>
            <w:gridSpan w:val="3"/>
            <w:tcBorders>
              <w:top w:val="single" w:color="auto" w:sz="4" w:space="0"/>
              <w:left w:val="single" w:color="auto" w:sz="4" w:space="0"/>
              <w:bottom w:val="single" w:color="auto" w:sz="4" w:space="0"/>
              <w:right w:val="single" w:color="auto" w:sz="4" w:space="0"/>
            </w:tcBorders>
            <w:noWrap w:val="0"/>
            <w:vAlign w:val="center"/>
          </w:tcPr>
          <w:p w14:paraId="115ED200">
            <w:pPr>
              <w:topLinePunct/>
              <w:spacing w:line="440" w:lineRule="exact"/>
              <w:jc w:val="center"/>
              <w:rPr>
                <w:rFonts w:ascii="仿宋" w:hAnsi="仿宋" w:eastAsia="仿宋" w:cs="仿宋"/>
                <w:color w:val="auto"/>
                <w:sz w:val="24"/>
                <w:highlight w:val="none"/>
              </w:rPr>
            </w:pPr>
          </w:p>
        </w:tc>
      </w:tr>
      <w:tr w14:paraId="790D7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6487480A">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组织结构</w:t>
            </w:r>
          </w:p>
        </w:tc>
        <w:tc>
          <w:tcPr>
            <w:tcW w:w="7623" w:type="dxa"/>
            <w:gridSpan w:val="8"/>
            <w:tcBorders>
              <w:top w:val="single" w:color="auto" w:sz="4" w:space="0"/>
              <w:left w:val="single" w:color="auto" w:sz="4" w:space="0"/>
              <w:bottom w:val="single" w:color="auto" w:sz="4" w:space="0"/>
              <w:right w:val="single" w:color="auto" w:sz="4" w:space="0"/>
            </w:tcBorders>
            <w:noWrap w:val="0"/>
            <w:vAlign w:val="center"/>
          </w:tcPr>
          <w:p w14:paraId="78E2B6AC">
            <w:pPr>
              <w:topLinePunct/>
              <w:spacing w:line="440" w:lineRule="exact"/>
              <w:jc w:val="center"/>
              <w:rPr>
                <w:rFonts w:ascii="仿宋" w:hAnsi="仿宋" w:eastAsia="仿宋" w:cs="仿宋"/>
                <w:color w:val="auto"/>
                <w:sz w:val="24"/>
                <w:highlight w:val="none"/>
              </w:rPr>
            </w:pPr>
          </w:p>
        </w:tc>
      </w:tr>
      <w:tr w14:paraId="077B2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027FC8FF">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139" w:type="dxa"/>
            <w:tcBorders>
              <w:top w:val="single" w:color="auto" w:sz="4" w:space="0"/>
              <w:left w:val="single" w:color="auto" w:sz="4" w:space="0"/>
              <w:bottom w:val="single" w:color="auto" w:sz="4" w:space="0"/>
              <w:right w:val="single" w:color="auto" w:sz="4" w:space="0"/>
            </w:tcBorders>
            <w:noWrap w:val="0"/>
            <w:vAlign w:val="center"/>
          </w:tcPr>
          <w:p w14:paraId="6D239231">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796F829">
            <w:pPr>
              <w:topLinePunct/>
              <w:spacing w:line="440" w:lineRule="exact"/>
              <w:jc w:val="center"/>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0A712F9">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技术职称</w:t>
            </w:r>
          </w:p>
        </w:tc>
        <w:tc>
          <w:tcPr>
            <w:tcW w:w="1544" w:type="dxa"/>
            <w:gridSpan w:val="3"/>
            <w:tcBorders>
              <w:top w:val="single" w:color="auto" w:sz="4" w:space="0"/>
              <w:left w:val="single" w:color="auto" w:sz="4" w:space="0"/>
              <w:bottom w:val="single" w:color="auto" w:sz="4" w:space="0"/>
              <w:right w:val="single" w:color="auto" w:sz="4" w:space="0"/>
            </w:tcBorders>
            <w:noWrap w:val="0"/>
            <w:vAlign w:val="center"/>
          </w:tcPr>
          <w:p w14:paraId="0D65F28B">
            <w:pPr>
              <w:topLinePunct/>
              <w:spacing w:line="440" w:lineRule="exact"/>
              <w:jc w:val="center"/>
              <w:rPr>
                <w:rFonts w:ascii="仿宋" w:hAnsi="仿宋" w:eastAsia="仿宋" w:cs="仿宋"/>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14:paraId="2C3F0660">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3E03E434">
            <w:pPr>
              <w:topLinePunct/>
              <w:spacing w:line="440" w:lineRule="exact"/>
              <w:jc w:val="center"/>
              <w:rPr>
                <w:rFonts w:ascii="仿宋" w:hAnsi="仿宋" w:eastAsia="仿宋" w:cs="仿宋"/>
                <w:color w:val="auto"/>
                <w:sz w:val="24"/>
                <w:highlight w:val="none"/>
              </w:rPr>
            </w:pPr>
          </w:p>
        </w:tc>
      </w:tr>
      <w:tr w14:paraId="401BA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33805869">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项目负责人</w:t>
            </w:r>
          </w:p>
        </w:tc>
        <w:tc>
          <w:tcPr>
            <w:tcW w:w="1139" w:type="dxa"/>
            <w:tcBorders>
              <w:top w:val="single" w:color="auto" w:sz="4" w:space="0"/>
              <w:left w:val="single" w:color="auto" w:sz="4" w:space="0"/>
              <w:bottom w:val="single" w:color="auto" w:sz="4" w:space="0"/>
              <w:right w:val="single" w:color="auto" w:sz="4" w:space="0"/>
            </w:tcBorders>
            <w:noWrap w:val="0"/>
            <w:vAlign w:val="center"/>
          </w:tcPr>
          <w:p w14:paraId="1059D6A5">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EE6818B">
            <w:pPr>
              <w:topLinePunct/>
              <w:spacing w:line="440" w:lineRule="exact"/>
              <w:jc w:val="center"/>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8FF2ED5">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技术职称</w:t>
            </w:r>
          </w:p>
        </w:tc>
        <w:tc>
          <w:tcPr>
            <w:tcW w:w="1544" w:type="dxa"/>
            <w:gridSpan w:val="3"/>
            <w:tcBorders>
              <w:top w:val="single" w:color="auto" w:sz="4" w:space="0"/>
              <w:left w:val="single" w:color="auto" w:sz="4" w:space="0"/>
              <w:bottom w:val="single" w:color="auto" w:sz="4" w:space="0"/>
              <w:right w:val="single" w:color="auto" w:sz="4" w:space="0"/>
            </w:tcBorders>
            <w:noWrap w:val="0"/>
            <w:vAlign w:val="center"/>
          </w:tcPr>
          <w:p w14:paraId="3D7523CA">
            <w:pPr>
              <w:topLinePunct/>
              <w:spacing w:line="440" w:lineRule="exact"/>
              <w:jc w:val="center"/>
              <w:rPr>
                <w:rFonts w:ascii="仿宋" w:hAnsi="仿宋" w:eastAsia="仿宋" w:cs="仿宋"/>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14:paraId="0765D7E6">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5821B45D">
            <w:pPr>
              <w:topLinePunct/>
              <w:spacing w:line="440" w:lineRule="exact"/>
              <w:jc w:val="center"/>
              <w:rPr>
                <w:rFonts w:ascii="仿宋" w:hAnsi="仿宋" w:eastAsia="仿宋" w:cs="仿宋"/>
                <w:color w:val="auto"/>
                <w:sz w:val="24"/>
                <w:highlight w:val="none"/>
              </w:rPr>
            </w:pPr>
          </w:p>
        </w:tc>
      </w:tr>
      <w:tr w14:paraId="1751E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74D3108D">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7175C02A">
            <w:pPr>
              <w:topLinePunct/>
              <w:spacing w:line="440" w:lineRule="exact"/>
              <w:jc w:val="center"/>
              <w:rPr>
                <w:rFonts w:ascii="仿宋" w:hAnsi="仿宋" w:eastAsia="仿宋" w:cs="仿宋"/>
                <w:color w:val="auto"/>
                <w:sz w:val="24"/>
                <w:highlight w:val="none"/>
              </w:rPr>
            </w:pPr>
          </w:p>
        </w:tc>
        <w:tc>
          <w:tcPr>
            <w:tcW w:w="5492" w:type="dxa"/>
            <w:gridSpan w:val="6"/>
            <w:tcBorders>
              <w:top w:val="single" w:color="auto" w:sz="4" w:space="0"/>
              <w:left w:val="single" w:color="auto" w:sz="4" w:space="0"/>
              <w:bottom w:val="single" w:color="auto" w:sz="4" w:space="0"/>
              <w:right w:val="single" w:color="auto" w:sz="4" w:space="0"/>
            </w:tcBorders>
            <w:noWrap w:val="0"/>
            <w:vAlign w:val="center"/>
          </w:tcPr>
          <w:p w14:paraId="48396F7B">
            <w:pPr>
              <w:topLinePunct/>
              <w:spacing w:line="440" w:lineRule="exact"/>
              <w:ind w:firstLine="120" w:firstLineChars="50"/>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066553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11932447">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3DF3DD74">
            <w:pPr>
              <w:topLinePunct/>
              <w:spacing w:line="440" w:lineRule="exact"/>
              <w:jc w:val="center"/>
              <w:rPr>
                <w:rFonts w:ascii="仿宋" w:hAnsi="仿宋" w:eastAsia="仿宋" w:cs="仿宋"/>
                <w:color w:val="auto"/>
                <w:sz w:val="24"/>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44C159CA">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362" w:type="dxa"/>
            <w:gridSpan w:val="4"/>
            <w:tcBorders>
              <w:top w:val="single" w:color="auto" w:sz="4" w:space="0"/>
              <w:left w:val="single" w:color="auto" w:sz="4" w:space="0"/>
              <w:bottom w:val="single" w:color="auto" w:sz="4" w:space="0"/>
              <w:right w:val="single" w:color="auto" w:sz="4" w:space="0"/>
            </w:tcBorders>
            <w:noWrap w:val="0"/>
            <w:vAlign w:val="center"/>
          </w:tcPr>
          <w:p w14:paraId="714F28F7">
            <w:pPr>
              <w:topLinePunct/>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项目经理</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106944FB">
            <w:pPr>
              <w:topLinePunct/>
              <w:spacing w:line="440" w:lineRule="exact"/>
              <w:jc w:val="center"/>
              <w:rPr>
                <w:rFonts w:ascii="仿宋" w:hAnsi="仿宋" w:eastAsia="仿宋" w:cs="仿宋"/>
                <w:color w:val="auto"/>
                <w:sz w:val="24"/>
                <w:highlight w:val="none"/>
              </w:rPr>
            </w:pPr>
          </w:p>
        </w:tc>
      </w:tr>
      <w:tr w14:paraId="6D9BF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6B608FBF">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6430BFCB">
            <w:pPr>
              <w:topLinePunct/>
              <w:spacing w:line="440" w:lineRule="exact"/>
              <w:jc w:val="center"/>
              <w:rPr>
                <w:rFonts w:ascii="仿宋" w:hAnsi="仿宋" w:eastAsia="仿宋" w:cs="仿宋"/>
                <w:color w:val="auto"/>
                <w:sz w:val="24"/>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48501402">
            <w:pPr>
              <w:widowControl/>
              <w:jc w:val="left"/>
              <w:rPr>
                <w:rFonts w:ascii="仿宋" w:hAnsi="仿宋" w:eastAsia="仿宋" w:cs="仿宋"/>
                <w:color w:val="auto"/>
                <w:sz w:val="24"/>
                <w:highlight w:val="none"/>
              </w:rPr>
            </w:pPr>
          </w:p>
        </w:tc>
        <w:tc>
          <w:tcPr>
            <w:tcW w:w="2362" w:type="dxa"/>
            <w:gridSpan w:val="4"/>
            <w:tcBorders>
              <w:top w:val="single" w:color="auto" w:sz="4" w:space="0"/>
              <w:left w:val="single" w:color="auto" w:sz="4" w:space="0"/>
              <w:bottom w:val="single" w:color="auto" w:sz="4" w:space="0"/>
              <w:right w:val="single" w:color="auto" w:sz="4" w:space="0"/>
            </w:tcBorders>
            <w:noWrap w:val="0"/>
            <w:vAlign w:val="center"/>
          </w:tcPr>
          <w:p w14:paraId="649C89A7">
            <w:pPr>
              <w:topLinePunct/>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23A498CF">
            <w:pPr>
              <w:topLinePunct/>
              <w:spacing w:line="440" w:lineRule="exact"/>
              <w:jc w:val="center"/>
              <w:rPr>
                <w:rFonts w:ascii="仿宋" w:hAnsi="仿宋" w:eastAsia="仿宋" w:cs="仿宋"/>
                <w:color w:val="auto"/>
                <w:sz w:val="24"/>
                <w:highlight w:val="none"/>
              </w:rPr>
            </w:pPr>
          </w:p>
        </w:tc>
      </w:tr>
      <w:tr w14:paraId="61594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2520D6D2">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40489078">
            <w:pPr>
              <w:topLinePunct/>
              <w:spacing w:line="440" w:lineRule="exact"/>
              <w:jc w:val="center"/>
              <w:rPr>
                <w:rFonts w:ascii="仿宋" w:hAnsi="仿宋" w:eastAsia="仿宋" w:cs="仿宋"/>
                <w:color w:val="auto"/>
                <w:sz w:val="24"/>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102BFC2C">
            <w:pPr>
              <w:widowControl/>
              <w:jc w:val="left"/>
              <w:rPr>
                <w:rFonts w:ascii="仿宋" w:hAnsi="仿宋" w:eastAsia="仿宋" w:cs="仿宋"/>
                <w:color w:val="auto"/>
                <w:sz w:val="24"/>
                <w:highlight w:val="none"/>
              </w:rPr>
            </w:pPr>
          </w:p>
        </w:tc>
        <w:tc>
          <w:tcPr>
            <w:tcW w:w="2362" w:type="dxa"/>
            <w:gridSpan w:val="4"/>
            <w:tcBorders>
              <w:top w:val="single" w:color="auto" w:sz="4" w:space="0"/>
              <w:left w:val="single" w:color="auto" w:sz="4" w:space="0"/>
              <w:bottom w:val="single" w:color="auto" w:sz="4" w:space="0"/>
              <w:right w:val="single" w:color="auto" w:sz="4" w:space="0"/>
            </w:tcBorders>
            <w:noWrap w:val="0"/>
            <w:vAlign w:val="center"/>
          </w:tcPr>
          <w:p w14:paraId="12976FFC">
            <w:pPr>
              <w:topLinePunct/>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0947CB31">
            <w:pPr>
              <w:topLinePunct/>
              <w:spacing w:line="440" w:lineRule="exact"/>
              <w:jc w:val="center"/>
              <w:rPr>
                <w:rFonts w:ascii="仿宋" w:hAnsi="仿宋" w:eastAsia="仿宋" w:cs="仿宋"/>
                <w:color w:val="auto"/>
                <w:sz w:val="24"/>
                <w:highlight w:val="none"/>
              </w:rPr>
            </w:pPr>
          </w:p>
        </w:tc>
      </w:tr>
      <w:tr w14:paraId="4D804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54D126C8">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5385A438">
            <w:pPr>
              <w:topLinePunct/>
              <w:spacing w:line="440" w:lineRule="exact"/>
              <w:jc w:val="center"/>
              <w:rPr>
                <w:rFonts w:ascii="仿宋" w:hAnsi="仿宋" w:eastAsia="仿宋" w:cs="仿宋"/>
                <w:color w:val="auto"/>
                <w:sz w:val="24"/>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63D74FD8">
            <w:pPr>
              <w:widowControl/>
              <w:jc w:val="left"/>
              <w:rPr>
                <w:rFonts w:ascii="仿宋" w:hAnsi="仿宋" w:eastAsia="仿宋" w:cs="仿宋"/>
                <w:color w:val="auto"/>
                <w:sz w:val="24"/>
                <w:highlight w:val="none"/>
              </w:rPr>
            </w:pPr>
          </w:p>
        </w:tc>
        <w:tc>
          <w:tcPr>
            <w:tcW w:w="2362" w:type="dxa"/>
            <w:gridSpan w:val="4"/>
            <w:tcBorders>
              <w:top w:val="single" w:color="auto" w:sz="4" w:space="0"/>
              <w:left w:val="single" w:color="auto" w:sz="4" w:space="0"/>
              <w:bottom w:val="single" w:color="auto" w:sz="4" w:space="0"/>
              <w:right w:val="single" w:color="auto" w:sz="4" w:space="0"/>
            </w:tcBorders>
            <w:noWrap w:val="0"/>
            <w:vAlign w:val="center"/>
          </w:tcPr>
          <w:p w14:paraId="0D0E77E0">
            <w:pPr>
              <w:topLinePunct/>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5E25F835">
            <w:pPr>
              <w:topLinePunct/>
              <w:spacing w:line="440" w:lineRule="exact"/>
              <w:jc w:val="center"/>
              <w:rPr>
                <w:rFonts w:ascii="仿宋" w:hAnsi="仿宋" w:eastAsia="仿宋" w:cs="仿宋"/>
                <w:color w:val="auto"/>
                <w:sz w:val="24"/>
                <w:highlight w:val="none"/>
              </w:rPr>
            </w:pPr>
          </w:p>
        </w:tc>
      </w:tr>
      <w:tr w14:paraId="34B52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0174BA60">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2131" w:type="dxa"/>
            <w:gridSpan w:val="2"/>
            <w:tcBorders>
              <w:top w:val="single" w:color="auto" w:sz="4" w:space="0"/>
              <w:left w:val="single" w:color="auto" w:sz="4" w:space="0"/>
              <w:bottom w:val="single" w:color="auto" w:sz="4" w:space="0"/>
              <w:right w:val="single" w:color="auto" w:sz="4" w:space="0"/>
            </w:tcBorders>
            <w:noWrap w:val="0"/>
            <w:vAlign w:val="center"/>
          </w:tcPr>
          <w:p w14:paraId="01D8AA88">
            <w:pPr>
              <w:topLinePunct/>
              <w:spacing w:line="440" w:lineRule="exact"/>
              <w:jc w:val="center"/>
              <w:rPr>
                <w:rFonts w:ascii="仿宋" w:hAnsi="仿宋" w:eastAsia="仿宋" w:cs="仿宋"/>
                <w:color w:val="auto"/>
                <w:sz w:val="24"/>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2541818A">
            <w:pPr>
              <w:widowControl/>
              <w:jc w:val="left"/>
              <w:rPr>
                <w:rFonts w:ascii="仿宋" w:hAnsi="仿宋" w:eastAsia="仿宋" w:cs="仿宋"/>
                <w:color w:val="auto"/>
                <w:sz w:val="24"/>
                <w:highlight w:val="none"/>
              </w:rPr>
            </w:pPr>
          </w:p>
        </w:tc>
        <w:tc>
          <w:tcPr>
            <w:tcW w:w="2362" w:type="dxa"/>
            <w:gridSpan w:val="4"/>
            <w:tcBorders>
              <w:top w:val="single" w:color="auto" w:sz="4" w:space="0"/>
              <w:left w:val="single" w:color="auto" w:sz="4" w:space="0"/>
              <w:bottom w:val="single" w:color="auto" w:sz="4" w:space="0"/>
              <w:right w:val="single" w:color="auto" w:sz="4" w:space="0"/>
            </w:tcBorders>
            <w:noWrap w:val="0"/>
            <w:vAlign w:val="center"/>
          </w:tcPr>
          <w:p w14:paraId="20ED0B6D">
            <w:pPr>
              <w:topLinePunct/>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5446C5AC">
            <w:pPr>
              <w:topLinePunct/>
              <w:spacing w:line="440" w:lineRule="exact"/>
              <w:jc w:val="center"/>
              <w:rPr>
                <w:rFonts w:ascii="仿宋" w:hAnsi="仿宋" w:eastAsia="仿宋" w:cs="仿宋"/>
                <w:color w:val="auto"/>
                <w:sz w:val="24"/>
                <w:highlight w:val="none"/>
              </w:rPr>
            </w:pPr>
          </w:p>
        </w:tc>
      </w:tr>
      <w:tr w14:paraId="7337A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661" w:type="dxa"/>
            <w:tcBorders>
              <w:top w:val="single" w:color="auto" w:sz="4" w:space="0"/>
              <w:left w:val="single" w:color="auto" w:sz="4" w:space="0"/>
              <w:bottom w:val="nil"/>
              <w:right w:val="single" w:color="auto" w:sz="4" w:space="0"/>
            </w:tcBorders>
            <w:noWrap w:val="0"/>
            <w:vAlign w:val="center"/>
          </w:tcPr>
          <w:p w14:paraId="34113E8A">
            <w:pPr>
              <w:topLinePunct/>
              <w:spacing w:line="440" w:lineRule="exact"/>
              <w:ind w:firstLine="240" w:firstLineChars="100"/>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623" w:type="dxa"/>
            <w:gridSpan w:val="8"/>
            <w:tcBorders>
              <w:top w:val="single" w:color="auto" w:sz="4" w:space="0"/>
              <w:left w:val="single" w:color="auto" w:sz="4" w:space="0"/>
              <w:bottom w:val="nil"/>
              <w:right w:val="single" w:color="auto" w:sz="4" w:space="0"/>
            </w:tcBorders>
            <w:noWrap w:val="0"/>
            <w:vAlign w:val="center"/>
          </w:tcPr>
          <w:p w14:paraId="0D552187">
            <w:pPr>
              <w:topLinePunct/>
              <w:spacing w:line="440" w:lineRule="exact"/>
              <w:jc w:val="center"/>
              <w:rPr>
                <w:rFonts w:ascii="仿宋" w:hAnsi="仿宋" w:eastAsia="仿宋" w:cs="仿宋"/>
                <w:color w:val="auto"/>
                <w:sz w:val="24"/>
                <w:highlight w:val="none"/>
              </w:rPr>
            </w:pPr>
          </w:p>
          <w:p w14:paraId="286BDA43">
            <w:pPr>
              <w:topLinePunct/>
              <w:spacing w:line="440" w:lineRule="exact"/>
              <w:jc w:val="center"/>
              <w:rPr>
                <w:rFonts w:ascii="仿宋" w:hAnsi="仿宋" w:eastAsia="仿宋" w:cs="仿宋"/>
                <w:color w:val="auto"/>
                <w:sz w:val="24"/>
                <w:highlight w:val="none"/>
              </w:rPr>
            </w:pPr>
          </w:p>
          <w:p w14:paraId="2322AB70">
            <w:pPr>
              <w:topLinePunct/>
              <w:spacing w:line="440" w:lineRule="exact"/>
              <w:jc w:val="center"/>
              <w:rPr>
                <w:rFonts w:ascii="仿宋" w:hAnsi="仿宋" w:eastAsia="仿宋" w:cs="仿宋"/>
                <w:color w:val="auto"/>
                <w:sz w:val="24"/>
                <w:highlight w:val="none"/>
              </w:rPr>
            </w:pPr>
          </w:p>
          <w:p w14:paraId="30FBEE9B">
            <w:pPr>
              <w:topLinePunct/>
              <w:spacing w:line="440" w:lineRule="exact"/>
              <w:jc w:val="center"/>
              <w:rPr>
                <w:rFonts w:ascii="仿宋" w:hAnsi="仿宋" w:eastAsia="仿宋" w:cs="仿宋"/>
                <w:color w:val="auto"/>
                <w:sz w:val="24"/>
                <w:highlight w:val="none"/>
              </w:rPr>
            </w:pPr>
          </w:p>
          <w:p w14:paraId="5694DD54">
            <w:pPr>
              <w:topLinePunct/>
              <w:spacing w:line="440" w:lineRule="exact"/>
              <w:rPr>
                <w:rFonts w:ascii="仿宋" w:hAnsi="仿宋" w:eastAsia="仿宋" w:cs="仿宋"/>
                <w:color w:val="auto"/>
                <w:sz w:val="24"/>
                <w:highlight w:val="none"/>
              </w:rPr>
            </w:pPr>
          </w:p>
        </w:tc>
      </w:tr>
      <w:tr w14:paraId="73CDB6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661" w:type="dxa"/>
            <w:tcBorders>
              <w:top w:val="single" w:color="auto" w:sz="4" w:space="0"/>
              <w:left w:val="single" w:color="auto" w:sz="4" w:space="0"/>
              <w:bottom w:val="single" w:color="auto" w:sz="4" w:space="0"/>
              <w:right w:val="single" w:color="auto" w:sz="4" w:space="0"/>
            </w:tcBorders>
            <w:noWrap w:val="0"/>
            <w:vAlign w:val="center"/>
          </w:tcPr>
          <w:p w14:paraId="728093EC">
            <w:pPr>
              <w:topLinePunct/>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623" w:type="dxa"/>
            <w:gridSpan w:val="8"/>
            <w:tcBorders>
              <w:top w:val="single" w:color="auto" w:sz="4" w:space="0"/>
              <w:left w:val="single" w:color="auto" w:sz="4" w:space="0"/>
              <w:bottom w:val="single" w:color="auto" w:sz="4" w:space="0"/>
              <w:right w:val="single" w:color="auto" w:sz="4" w:space="0"/>
            </w:tcBorders>
            <w:noWrap w:val="0"/>
            <w:vAlign w:val="center"/>
          </w:tcPr>
          <w:p w14:paraId="67FCD8C9">
            <w:pPr>
              <w:topLinePunct/>
              <w:spacing w:line="440" w:lineRule="exact"/>
              <w:jc w:val="center"/>
              <w:rPr>
                <w:rFonts w:ascii="仿宋" w:hAnsi="仿宋" w:eastAsia="仿宋" w:cs="仿宋"/>
                <w:color w:val="auto"/>
                <w:sz w:val="24"/>
                <w:highlight w:val="none"/>
              </w:rPr>
            </w:pPr>
          </w:p>
        </w:tc>
      </w:tr>
    </w:tbl>
    <w:p w14:paraId="50F37442">
      <w:pPr>
        <w:pStyle w:val="54"/>
        <w:rPr>
          <w:rFonts w:hint="eastAsia" w:cs="Times New Roman"/>
          <w:color w:val="auto"/>
          <w:highlight w:val="none"/>
        </w:rPr>
      </w:pPr>
      <w:r>
        <w:rPr>
          <w:rFonts w:hint="eastAsia" w:ascii="仿宋" w:hAnsi="仿宋" w:eastAsia="仿宋" w:cs="仿宋"/>
          <w:color w:val="auto"/>
          <w:sz w:val="24"/>
          <w:highlight w:val="none"/>
        </w:rPr>
        <w:t>注：投标人应根据投标人须知第3.5 项的要求在本表后附相关证明材料。</w:t>
      </w:r>
      <w:bookmarkStart w:id="620" w:name="_bookmark166"/>
      <w:bookmarkEnd w:id="620"/>
      <w:bookmarkStart w:id="621" w:name="_Toc38209199"/>
    </w:p>
    <w:p w14:paraId="68C7DDDE">
      <w:pPr>
        <w:pStyle w:val="52"/>
        <w:spacing w:before="156" w:beforeLines="50" w:line="360" w:lineRule="auto"/>
        <w:jc w:val="center"/>
        <w:rPr>
          <w:rFonts w:hint="eastAsia" w:ascii="仿宋" w:hAnsi="仿宋" w:eastAsia="仿宋" w:cs="仿宋"/>
          <w:b/>
          <w:color w:val="auto"/>
          <w:szCs w:val="23"/>
          <w:highlight w:val="none"/>
        </w:rPr>
      </w:pPr>
      <w:bookmarkStart w:id="622" w:name="_Toc106712912"/>
      <w:r>
        <w:rPr>
          <w:rFonts w:hint="eastAsia" w:ascii="仿宋" w:hAnsi="仿宋" w:eastAsia="仿宋" w:cs="仿宋"/>
          <w:b w:val="0"/>
          <w:color w:val="auto"/>
          <w:szCs w:val="23"/>
          <w:highlight w:val="none"/>
        </w:rPr>
        <w:br w:type="page"/>
      </w:r>
      <w:bookmarkEnd w:id="621"/>
      <w:bookmarkEnd w:id="622"/>
      <w:bookmarkStart w:id="623" w:name="_Toc17782"/>
      <w:bookmarkStart w:id="624" w:name="_Toc6476"/>
      <w:bookmarkStart w:id="625" w:name="_Toc106712915"/>
      <w:bookmarkStart w:id="626" w:name="_Toc25786"/>
      <w:bookmarkStart w:id="627" w:name="_Toc38209203"/>
      <w:r>
        <w:rPr>
          <w:rFonts w:hint="eastAsia" w:ascii="仿宋" w:hAnsi="仿宋" w:eastAsia="仿宋" w:cs="仿宋"/>
          <w:b/>
          <w:color w:val="auto"/>
          <w:szCs w:val="23"/>
          <w:highlight w:val="none"/>
        </w:rPr>
        <w:t>（</w:t>
      </w:r>
      <w:r>
        <w:rPr>
          <w:rFonts w:hint="eastAsia" w:ascii="仿宋" w:hAnsi="仿宋" w:eastAsia="仿宋" w:cs="仿宋"/>
          <w:b/>
          <w:color w:val="auto"/>
          <w:szCs w:val="23"/>
          <w:highlight w:val="none"/>
          <w:lang w:val="en-US" w:eastAsia="zh-CN"/>
        </w:rPr>
        <w:t>二</w:t>
      </w:r>
      <w:r>
        <w:rPr>
          <w:rFonts w:hint="eastAsia" w:ascii="仿宋" w:hAnsi="仿宋" w:eastAsia="仿宋" w:cs="仿宋"/>
          <w:b/>
          <w:color w:val="auto"/>
          <w:szCs w:val="23"/>
          <w:highlight w:val="none"/>
        </w:rPr>
        <w:t>）其他资格审查资料</w:t>
      </w:r>
      <w:bookmarkEnd w:id="623"/>
      <w:bookmarkEnd w:id="624"/>
      <w:bookmarkEnd w:id="625"/>
      <w:bookmarkEnd w:id="626"/>
    </w:p>
    <w:p w14:paraId="24C37962">
      <w:pP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br w:type="page"/>
      </w:r>
    </w:p>
    <w:p w14:paraId="01A4EB90">
      <w:pPr>
        <w:pStyle w:val="35"/>
        <w:numPr>
          <w:ilvl w:val="0"/>
          <w:numId w:val="2"/>
        </w:numPr>
        <w:spacing w:before="156"/>
        <w:jc w:val="center"/>
        <w:rPr>
          <w:rFonts w:hint="eastAsia" w:ascii="仿宋" w:hAnsi="仿宋" w:cs="仿宋"/>
          <w:b/>
          <w:color w:val="auto"/>
          <w:sz w:val="32"/>
          <w:highlight w:val="none"/>
        </w:rPr>
      </w:pPr>
      <w:bookmarkStart w:id="628" w:name="_Toc27092"/>
      <w:bookmarkStart w:id="629" w:name="_Toc17617"/>
      <w:bookmarkStart w:id="630" w:name="_Toc10019"/>
      <w:r>
        <w:rPr>
          <w:rFonts w:hint="eastAsia" w:ascii="仿宋" w:hAnsi="仿宋" w:cs="仿宋"/>
          <w:b/>
          <w:color w:val="auto"/>
          <w:sz w:val="32"/>
          <w:highlight w:val="none"/>
        </w:rPr>
        <w:t>施工组织设计</w:t>
      </w:r>
      <w:bookmarkEnd w:id="628"/>
      <w:bookmarkEnd w:id="629"/>
      <w:bookmarkEnd w:id="630"/>
    </w:p>
    <w:p w14:paraId="7B4D7E80">
      <w:pPr>
        <w:pStyle w:val="35"/>
        <w:numPr>
          <w:ilvl w:val="0"/>
          <w:numId w:val="0"/>
        </w:numPr>
        <w:spacing w:before="156"/>
        <w:jc w:val="both"/>
        <w:rPr>
          <w:rFonts w:hint="eastAsia" w:ascii="仿宋" w:hAnsi="仿宋" w:cs="仿宋"/>
          <w:b/>
          <w:color w:val="auto"/>
          <w:sz w:val="32"/>
          <w:highlight w:val="none"/>
        </w:rPr>
      </w:pPr>
    </w:p>
    <w:p w14:paraId="692E7F5D">
      <w:pPr>
        <w:pStyle w:val="11"/>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投标人根据招标项目要求及自身情况自行填报。</w:t>
      </w:r>
    </w:p>
    <w:p w14:paraId="2E702E15">
      <w:pPr>
        <w:pStyle w:val="11"/>
        <w:rPr>
          <w:rFonts w:hint="eastAsia" w:ascii="仿宋" w:hAnsi="仿宋" w:eastAsia="仿宋" w:cs="仿宋"/>
          <w:color w:val="auto"/>
          <w:highlight w:val="none"/>
          <w:lang w:val="en-US" w:eastAsia="zh-CN"/>
        </w:rPr>
      </w:pPr>
    </w:p>
    <w:p w14:paraId="74AB2723">
      <w:pPr>
        <w:pStyle w:val="11"/>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注：1、</w:t>
      </w:r>
      <w:r>
        <w:rPr>
          <w:rFonts w:hint="eastAsia" w:ascii="仿宋" w:hAnsi="仿宋" w:eastAsia="仿宋" w:cs="仿宋"/>
          <w:color w:val="auto"/>
          <w:highlight w:val="none"/>
          <w:lang w:val="en-US"/>
        </w:rPr>
        <w:t>本项目为暗标，</w:t>
      </w:r>
      <w:r>
        <w:rPr>
          <w:rFonts w:hint="eastAsia" w:ascii="仿宋" w:hAnsi="仿宋" w:eastAsia="仿宋" w:cs="仿宋"/>
          <w:color w:val="auto"/>
          <w:highlight w:val="none"/>
          <w:lang w:val="en-US" w:eastAsia="zh-CN"/>
        </w:rPr>
        <w:t>本章节内容上传至施工组织设计板块，无需在投标正文中上传。</w:t>
      </w:r>
    </w:p>
    <w:p w14:paraId="2B825D5E">
      <w:pPr>
        <w:pStyle w:val="11"/>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2、投标人需要严格按照暗标规则填报，具体的暗标规则详见：</w:t>
      </w:r>
    </w:p>
    <w:p w14:paraId="743ECC45">
      <w:pPr>
        <w:pStyle w:val="11"/>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https://lyggzyjy.ly.gov.cn/bszn/005002/005002001/20240725/be3be1b7-8ffc-4ee1-aa3f-f82f3b5cc33b.html。</w:t>
      </w:r>
    </w:p>
    <w:p w14:paraId="084578DE">
      <w:pPr>
        <w:pStyle w:val="35"/>
        <w:spacing w:before="156"/>
        <w:jc w:val="center"/>
        <w:rPr>
          <w:rFonts w:hint="eastAsia" w:ascii="仿宋" w:hAnsi="仿宋" w:cs="仿宋"/>
          <w:b/>
          <w:color w:val="auto"/>
          <w:sz w:val="32"/>
          <w:highlight w:val="none"/>
        </w:rPr>
      </w:pPr>
      <w:r>
        <w:rPr>
          <w:rFonts w:hint="eastAsia" w:ascii="仿宋" w:hAnsi="仿宋" w:cs="仿宋"/>
          <w:b/>
          <w:color w:val="auto"/>
          <w:sz w:val="32"/>
          <w:highlight w:val="none"/>
        </w:rPr>
        <w:br w:type="page"/>
      </w:r>
      <w:bookmarkStart w:id="631" w:name="_Toc19599"/>
      <w:bookmarkStart w:id="632" w:name="_Toc4789"/>
      <w:bookmarkStart w:id="633" w:name="_Toc12717"/>
      <w:r>
        <w:rPr>
          <w:rFonts w:hint="eastAsia" w:ascii="仿宋" w:hAnsi="仿宋" w:cs="仿宋"/>
          <w:b/>
          <w:color w:val="auto"/>
          <w:sz w:val="32"/>
          <w:highlight w:val="none"/>
          <w:lang w:val="en-US" w:eastAsia="zh-CN"/>
        </w:rPr>
        <w:t>十一</w:t>
      </w:r>
      <w:r>
        <w:rPr>
          <w:rFonts w:hint="eastAsia" w:ascii="仿宋" w:hAnsi="仿宋" w:cs="仿宋"/>
          <w:b/>
          <w:color w:val="auto"/>
          <w:sz w:val="32"/>
          <w:highlight w:val="none"/>
        </w:rPr>
        <w:t>、项目管理机构</w:t>
      </w:r>
      <w:bookmarkEnd w:id="631"/>
      <w:bookmarkEnd w:id="632"/>
      <w:bookmarkEnd w:id="633"/>
    </w:p>
    <w:p w14:paraId="69BFEABA">
      <w:pPr>
        <w:pStyle w:val="52"/>
        <w:spacing w:before="156" w:beforeLines="50" w:line="360" w:lineRule="auto"/>
        <w:jc w:val="center"/>
        <w:rPr>
          <w:rFonts w:hint="eastAsia" w:ascii="仿宋" w:hAnsi="仿宋" w:eastAsia="仿宋" w:cs="仿宋"/>
          <w:b/>
          <w:color w:val="auto"/>
          <w:szCs w:val="23"/>
          <w:highlight w:val="none"/>
        </w:rPr>
      </w:pPr>
      <w:bookmarkStart w:id="634" w:name="_Toc32116"/>
      <w:bookmarkStart w:id="635" w:name="_Toc29955"/>
      <w:bookmarkStart w:id="636" w:name="_Toc10875"/>
      <w:bookmarkStart w:id="637" w:name="_Toc20700"/>
      <w:r>
        <w:rPr>
          <w:rFonts w:hint="eastAsia" w:ascii="仿宋" w:hAnsi="仿宋" w:eastAsia="仿宋" w:cs="仿宋"/>
          <w:b/>
          <w:color w:val="auto"/>
          <w:szCs w:val="23"/>
          <w:highlight w:val="none"/>
        </w:rPr>
        <w:t>（一）项目管理机构组成表</w:t>
      </w:r>
      <w:bookmarkEnd w:id="634"/>
      <w:bookmarkEnd w:id="635"/>
      <w:bookmarkEnd w:id="636"/>
      <w:bookmarkEnd w:id="637"/>
    </w:p>
    <w:p w14:paraId="3FAF0FB2">
      <w:pPr>
        <w:spacing w:line="440" w:lineRule="exact"/>
        <w:ind w:firstLine="482" w:firstLineChars="200"/>
        <w:jc w:val="center"/>
        <w:rPr>
          <w:rFonts w:ascii="仿宋" w:hAnsi="仿宋" w:eastAsia="仿宋" w:cs="仿宋"/>
          <w:b/>
          <w:color w:val="auto"/>
          <w:sz w:val="24"/>
          <w:highlight w:val="none"/>
        </w:rPr>
      </w:pPr>
    </w:p>
    <w:tbl>
      <w:tblPr>
        <w:tblStyle w:val="26"/>
        <w:tblpPr w:leftFromText="181" w:rightFromText="181" w:vertAnchor="text" w:horzAnchor="margin" w:tblpXSpec="center" w:tblpY="-73"/>
        <w:tblOverlap w:val="never"/>
        <w:tblW w:w="0" w:type="auto"/>
        <w:tblInd w:w="-5" w:type="dxa"/>
        <w:tblLayout w:type="fixed"/>
        <w:tblCellMar>
          <w:top w:w="0" w:type="dxa"/>
          <w:left w:w="0" w:type="dxa"/>
          <w:bottom w:w="0" w:type="dxa"/>
          <w:right w:w="0" w:type="dxa"/>
        </w:tblCellMar>
      </w:tblPr>
      <w:tblGrid>
        <w:gridCol w:w="862"/>
        <w:gridCol w:w="1129"/>
        <w:gridCol w:w="903"/>
        <w:gridCol w:w="1206"/>
        <w:gridCol w:w="840"/>
        <w:gridCol w:w="963"/>
        <w:gridCol w:w="963"/>
        <w:gridCol w:w="1445"/>
        <w:gridCol w:w="903"/>
      </w:tblGrid>
      <w:tr w14:paraId="01A70158">
        <w:tblPrEx>
          <w:tblCellMar>
            <w:top w:w="0" w:type="dxa"/>
            <w:left w:w="0" w:type="dxa"/>
            <w:bottom w:w="0" w:type="dxa"/>
            <w:right w:w="0" w:type="dxa"/>
          </w:tblCellMar>
        </w:tblPrEx>
        <w:trPr>
          <w:trHeight w:val="739" w:hRule="atLeast"/>
        </w:trPr>
        <w:tc>
          <w:tcPr>
            <w:tcW w:w="862" w:type="dxa"/>
            <w:vMerge w:val="restart"/>
            <w:tcBorders>
              <w:top w:val="single" w:color="000000" w:sz="4" w:space="0"/>
              <w:left w:val="single" w:color="000000" w:sz="4" w:space="0"/>
              <w:bottom w:val="single" w:color="000000" w:sz="4" w:space="0"/>
              <w:right w:val="single" w:color="000000" w:sz="4" w:space="0"/>
            </w:tcBorders>
            <w:noWrap w:val="0"/>
            <w:vAlign w:val="center"/>
          </w:tcPr>
          <w:p w14:paraId="2DEF1C5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职务</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14:paraId="78F14950">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姓名</w:t>
            </w:r>
          </w:p>
        </w:tc>
        <w:tc>
          <w:tcPr>
            <w:tcW w:w="903" w:type="dxa"/>
            <w:vMerge w:val="restart"/>
            <w:tcBorders>
              <w:top w:val="single" w:color="000000" w:sz="4" w:space="0"/>
              <w:left w:val="single" w:color="000000" w:sz="4" w:space="0"/>
              <w:bottom w:val="single" w:color="000000" w:sz="4" w:space="0"/>
              <w:right w:val="single" w:color="000000" w:sz="4" w:space="0"/>
            </w:tcBorders>
            <w:noWrap w:val="0"/>
            <w:vAlign w:val="center"/>
          </w:tcPr>
          <w:p w14:paraId="30A8107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职称</w:t>
            </w:r>
          </w:p>
        </w:tc>
        <w:tc>
          <w:tcPr>
            <w:tcW w:w="5417" w:type="dxa"/>
            <w:gridSpan w:val="5"/>
            <w:tcBorders>
              <w:top w:val="single" w:color="000000" w:sz="4" w:space="0"/>
              <w:left w:val="single" w:color="000000" w:sz="4" w:space="0"/>
              <w:bottom w:val="single" w:color="000000" w:sz="4" w:space="0"/>
              <w:right w:val="single" w:color="000000" w:sz="4" w:space="0"/>
            </w:tcBorders>
            <w:noWrap w:val="0"/>
            <w:vAlign w:val="center"/>
          </w:tcPr>
          <w:p w14:paraId="508D25D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执业或职业资格证明</w:t>
            </w: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1F6F452C">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备注</w:t>
            </w:r>
          </w:p>
        </w:tc>
      </w:tr>
      <w:tr w14:paraId="3CE992BA">
        <w:tblPrEx>
          <w:tblCellMar>
            <w:top w:w="0" w:type="dxa"/>
            <w:left w:w="0" w:type="dxa"/>
            <w:bottom w:w="0" w:type="dxa"/>
            <w:right w:w="0" w:type="dxa"/>
          </w:tblCellMar>
        </w:tblPrEx>
        <w:trPr>
          <w:trHeight w:val="736" w:hRule="atLeast"/>
        </w:trPr>
        <w:tc>
          <w:tcPr>
            <w:tcW w:w="8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253A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3793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2A72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57BF681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证书名称</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65969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级别</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22B1915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证号</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6B65C2D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专业</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1139A52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r>
              <w:rPr>
                <w:rFonts w:hint="eastAsia" w:ascii="仿宋" w:hAnsi="仿宋" w:eastAsia="仿宋" w:cs="仿宋"/>
                <w:color w:val="auto"/>
                <w:spacing w:val="1"/>
                <w:kern w:val="0"/>
                <w:sz w:val="24"/>
                <w:highlight w:val="none"/>
              </w:rPr>
              <w:t>专业年限</w:t>
            </w: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77CAEB7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590AE1AA">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58B13A6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2E350CD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1B415BF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490DA8E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5E7D11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164AE1D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2EDE47DD">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256A889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2850B07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2B46F344">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0EC5A36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3223D6E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396DE29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7889039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40681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1D4D2CB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4D6A3CD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4B5928DD">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738BCC8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4714C14F">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549046B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28148E7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07DA0FF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4DD08FF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3A709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7B4A922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3DCE473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7DB8AB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121F39A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56FB1443">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316E351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0AB40008">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7624D3E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3AE3381C">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E65A1D">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73ED3B8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178837FC">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169C86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6E964DFD">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2F265AEF">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6ABF31A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1BBA29A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40869E10">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5D4F976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26B4D8">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2B859C2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02D50B58">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046250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27EFDA4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79489EFD">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06073D2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367DFDA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01B4FAD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7C1097E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D7738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6EC69B6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54B9CD0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748978F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5175FAF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11100FE7">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42DEBF0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6BD0D0E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5BC5FBB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2E31A81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9284F4">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6E8C148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15A527C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5495CFCD">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2372CAE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34F58EF4">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2FDED47F">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1A4934E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21F1D8C5">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159087F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101E1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62EEEE6C">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2A6D773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5E32C35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7F26A75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0F321C3D">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2EB93CB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21F11E6E">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1A92929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6C2DAFB6">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CC00D8">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5BF185B9">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1009AC6A">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1703CEC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5ECC9DF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r w14:paraId="38BACDFC">
        <w:tblPrEx>
          <w:tblCellMar>
            <w:top w:w="0" w:type="dxa"/>
            <w:left w:w="0" w:type="dxa"/>
            <w:bottom w:w="0" w:type="dxa"/>
            <w:right w:w="0" w:type="dxa"/>
          </w:tblCellMar>
        </w:tblPrEx>
        <w:trPr>
          <w:trHeight w:val="888" w:hRule="atLeast"/>
        </w:trPr>
        <w:tc>
          <w:tcPr>
            <w:tcW w:w="862" w:type="dxa"/>
            <w:tcBorders>
              <w:top w:val="single" w:color="000000" w:sz="4" w:space="0"/>
              <w:left w:val="single" w:color="000000" w:sz="4" w:space="0"/>
              <w:bottom w:val="single" w:color="000000" w:sz="4" w:space="0"/>
              <w:right w:val="single" w:color="000000" w:sz="4" w:space="0"/>
            </w:tcBorders>
            <w:noWrap w:val="0"/>
            <w:vAlign w:val="center"/>
          </w:tcPr>
          <w:p w14:paraId="36189CB2">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23208EFF">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4F360DE1">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14:paraId="57A63FBB">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BFCD6C">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251B0030">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14:paraId="48BEF657">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08837023">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c>
          <w:tcPr>
            <w:tcW w:w="903" w:type="dxa"/>
            <w:tcBorders>
              <w:top w:val="single" w:color="000000" w:sz="4" w:space="0"/>
              <w:left w:val="single" w:color="000000" w:sz="4" w:space="0"/>
              <w:bottom w:val="single" w:color="000000" w:sz="4" w:space="0"/>
              <w:right w:val="single" w:color="000000" w:sz="4" w:space="0"/>
            </w:tcBorders>
            <w:noWrap w:val="0"/>
            <w:vAlign w:val="center"/>
          </w:tcPr>
          <w:p w14:paraId="64D52290">
            <w:pPr>
              <w:autoSpaceDE w:val="0"/>
              <w:autoSpaceDN w:val="0"/>
              <w:adjustRightInd w:val="0"/>
              <w:spacing w:line="440" w:lineRule="exact"/>
              <w:ind w:right="97" w:firstLine="67" w:firstLineChars="28"/>
              <w:jc w:val="center"/>
              <w:rPr>
                <w:rFonts w:ascii="仿宋" w:hAnsi="仿宋" w:eastAsia="仿宋" w:cs="仿宋"/>
                <w:color w:val="auto"/>
                <w:spacing w:val="1"/>
                <w:kern w:val="0"/>
                <w:sz w:val="24"/>
                <w:highlight w:val="none"/>
              </w:rPr>
            </w:pPr>
          </w:p>
        </w:tc>
      </w:tr>
    </w:tbl>
    <w:p w14:paraId="3CBB718E">
      <w:pPr>
        <w:pStyle w:val="8"/>
        <w:rPr>
          <w:rFonts w:ascii="仿宋" w:hAnsi="仿宋" w:eastAsia="仿宋" w:cs="仿宋"/>
          <w:color w:val="auto"/>
          <w:highlight w:val="none"/>
        </w:rPr>
      </w:pPr>
    </w:p>
    <w:p w14:paraId="1EF7EE59">
      <w:pPr>
        <w:pStyle w:val="52"/>
        <w:spacing w:line="360" w:lineRule="auto"/>
        <w:jc w:val="center"/>
        <w:rPr>
          <w:rFonts w:hint="eastAsia" w:ascii="仿宋" w:hAnsi="仿宋" w:eastAsia="仿宋" w:cs="仿宋"/>
          <w:b/>
          <w:color w:val="auto"/>
          <w:szCs w:val="23"/>
          <w:highlight w:val="none"/>
        </w:rPr>
      </w:pPr>
      <w:r>
        <w:rPr>
          <w:rFonts w:hint="eastAsia" w:ascii="仿宋" w:hAnsi="仿宋" w:eastAsia="仿宋" w:cs="仿宋"/>
          <w:color w:val="auto"/>
          <w:highlight w:val="none"/>
        </w:rPr>
        <w:br w:type="page"/>
      </w:r>
      <w:bookmarkStart w:id="638" w:name="_Toc21870"/>
      <w:bookmarkStart w:id="639" w:name="_Toc11957"/>
      <w:bookmarkStart w:id="640" w:name="_Toc4960"/>
      <w:bookmarkStart w:id="641" w:name="_Toc16755"/>
      <w:r>
        <w:rPr>
          <w:rFonts w:hint="eastAsia" w:ascii="仿宋" w:hAnsi="仿宋" w:eastAsia="仿宋" w:cs="仿宋"/>
          <w:b/>
          <w:color w:val="auto"/>
          <w:szCs w:val="23"/>
          <w:highlight w:val="none"/>
        </w:rPr>
        <w:t>（二）</w:t>
      </w:r>
      <w:r>
        <w:rPr>
          <w:rFonts w:hint="eastAsia" w:ascii="仿宋" w:hAnsi="仿宋" w:eastAsia="仿宋" w:cs="仿宋"/>
          <w:b/>
          <w:color w:val="auto"/>
          <w:szCs w:val="23"/>
          <w:highlight w:val="none"/>
          <w:lang w:val="en-US" w:eastAsia="zh-CN"/>
        </w:rPr>
        <w:t>项目经理</w:t>
      </w:r>
      <w:r>
        <w:rPr>
          <w:rFonts w:hint="eastAsia" w:ascii="仿宋" w:hAnsi="仿宋" w:eastAsia="仿宋" w:cs="仿宋"/>
          <w:b/>
          <w:color w:val="auto"/>
          <w:szCs w:val="23"/>
          <w:highlight w:val="none"/>
        </w:rPr>
        <w:t>简历表</w:t>
      </w:r>
      <w:bookmarkEnd w:id="638"/>
      <w:bookmarkEnd w:id="639"/>
      <w:bookmarkEnd w:id="640"/>
      <w:bookmarkEnd w:id="641"/>
    </w:p>
    <w:p w14:paraId="43C1AF02">
      <w:pPr>
        <w:autoSpaceDE w:val="0"/>
        <w:autoSpaceDN w:val="0"/>
        <w:snapToGrid w:val="0"/>
        <w:spacing w:line="360" w:lineRule="auto"/>
        <w:ind w:firstLine="561"/>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项目经理应附注册建造师证、</w:t>
      </w:r>
      <w:r>
        <w:rPr>
          <w:rFonts w:hint="eastAsia" w:ascii="仿宋" w:hAnsi="仿宋" w:eastAsia="仿宋" w:cs="仿宋"/>
          <w:color w:val="auto"/>
          <w:sz w:val="24"/>
          <w:highlight w:val="none"/>
        </w:rPr>
        <w:t>安全生产考核合格证书、身份证</w:t>
      </w:r>
      <w:r>
        <w:rPr>
          <w:rFonts w:hint="eastAsia" w:ascii="仿宋" w:hAnsi="仿宋" w:eastAsia="仿宋" w:cs="仿宋"/>
          <w:color w:val="auto"/>
          <w:kern w:val="0"/>
          <w:sz w:val="24"/>
          <w:highlight w:val="none"/>
        </w:rPr>
        <w:t>等</w:t>
      </w:r>
      <w:r>
        <w:rPr>
          <w:rFonts w:hint="eastAsia" w:ascii="仿宋" w:hAnsi="仿宋" w:eastAsia="仿宋" w:cs="仿宋"/>
          <w:color w:val="auto"/>
          <w:kern w:val="0"/>
          <w:sz w:val="24"/>
          <w:highlight w:val="none"/>
          <w:lang w:val="en-US" w:eastAsia="zh-CN"/>
        </w:rPr>
        <w:t>原件扫描件</w:t>
      </w:r>
      <w:r>
        <w:rPr>
          <w:rFonts w:hint="eastAsia" w:ascii="仿宋" w:hAnsi="仿宋" w:eastAsia="仿宋" w:cs="仿宋"/>
          <w:color w:val="auto"/>
          <w:kern w:val="0"/>
          <w:sz w:val="24"/>
          <w:highlight w:val="none"/>
        </w:rPr>
        <w:t>及中标后未担任其他在</w:t>
      </w:r>
      <w:r>
        <w:rPr>
          <w:rFonts w:hint="eastAsia" w:ascii="仿宋" w:hAnsi="仿宋" w:eastAsia="仿宋" w:cs="仿宋"/>
          <w:color w:val="auto"/>
          <w:kern w:val="0"/>
          <w:sz w:val="24"/>
          <w:highlight w:val="none"/>
          <w:lang w:val="en-US" w:eastAsia="zh-CN"/>
        </w:rPr>
        <w:t>施建设</w:t>
      </w:r>
      <w:r>
        <w:rPr>
          <w:rFonts w:hint="eastAsia" w:ascii="仿宋" w:hAnsi="仿宋" w:eastAsia="仿宋" w:cs="仿宋"/>
          <w:color w:val="auto"/>
          <w:kern w:val="0"/>
          <w:sz w:val="24"/>
          <w:highlight w:val="none"/>
        </w:rPr>
        <w:t>工程项目项目经理的承诺书，管理过的项目业绩</w:t>
      </w:r>
      <w:r>
        <w:rPr>
          <w:rFonts w:hint="eastAsia" w:ascii="仿宋" w:hAnsi="仿宋" w:eastAsia="仿宋" w:cs="仿宋"/>
          <w:color w:val="auto"/>
          <w:kern w:val="0"/>
          <w:sz w:val="24"/>
          <w:highlight w:val="none"/>
          <w:lang w:val="en-US" w:eastAsia="zh-CN"/>
        </w:rPr>
        <w:t>等</w:t>
      </w:r>
      <w:r>
        <w:rPr>
          <w:rFonts w:hint="eastAsia" w:ascii="仿宋" w:hAnsi="仿宋" w:eastAsia="仿宋" w:cs="仿宋"/>
          <w:color w:val="auto"/>
          <w:kern w:val="0"/>
          <w:sz w:val="24"/>
          <w:highlight w:val="none"/>
        </w:rPr>
        <w:t>；</w:t>
      </w:r>
    </w:p>
    <w:tbl>
      <w:tblPr>
        <w:tblStyle w:val="26"/>
        <w:tblW w:w="0" w:type="auto"/>
        <w:jc w:val="center"/>
        <w:tblBorders>
          <w:top w:val="single" w:color="auto" w:sz="8" w:space="0"/>
          <w:left w:val="single" w:color="auto" w:sz="8" w:space="0"/>
          <w:bottom w:val="none" w:color="auto" w:sz="0"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187"/>
        <w:gridCol w:w="393"/>
        <w:gridCol w:w="981"/>
        <w:gridCol w:w="1084"/>
        <w:gridCol w:w="1067"/>
        <w:gridCol w:w="266"/>
        <w:gridCol w:w="1211"/>
        <w:gridCol w:w="825"/>
        <w:gridCol w:w="1778"/>
      </w:tblGrid>
      <w:tr w14:paraId="2A45A77C">
        <w:tblPrEx>
          <w:tblBorders>
            <w:top w:val="single" w:color="auto" w:sz="8" w:space="0"/>
            <w:left w:val="single" w:color="auto" w:sz="8" w:space="0"/>
            <w:bottom w:val="none" w:color="auto" w:sz="0"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187" w:type="dxa"/>
            <w:tcBorders>
              <w:top w:val="single" w:color="auto" w:sz="4" w:space="0"/>
              <w:left w:val="single" w:color="auto" w:sz="4" w:space="0"/>
              <w:bottom w:val="single" w:color="000000" w:sz="4" w:space="0"/>
              <w:right w:val="single" w:color="000000" w:sz="4" w:space="0"/>
            </w:tcBorders>
            <w:noWrap w:val="0"/>
            <w:vAlign w:val="center"/>
          </w:tcPr>
          <w:p w14:paraId="089306D0">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1374" w:type="dxa"/>
            <w:gridSpan w:val="2"/>
            <w:tcBorders>
              <w:top w:val="single" w:color="auto" w:sz="4" w:space="0"/>
              <w:left w:val="nil"/>
              <w:bottom w:val="single" w:color="000000" w:sz="4" w:space="0"/>
              <w:right w:val="single" w:color="000000" w:sz="4" w:space="0"/>
            </w:tcBorders>
            <w:noWrap w:val="0"/>
            <w:vAlign w:val="center"/>
          </w:tcPr>
          <w:p w14:paraId="2BC8118C">
            <w:pPr>
              <w:autoSpaceDE w:val="0"/>
              <w:autoSpaceDN w:val="0"/>
              <w:snapToGrid w:val="0"/>
              <w:spacing w:line="360" w:lineRule="auto"/>
              <w:jc w:val="center"/>
              <w:rPr>
                <w:rFonts w:ascii="仿宋" w:hAnsi="仿宋" w:eastAsia="仿宋" w:cs="仿宋"/>
                <w:color w:val="auto"/>
                <w:kern w:val="0"/>
                <w:sz w:val="24"/>
                <w:highlight w:val="none"/>
              </w:rPr>
            </w:pPr>
          </w:p>
        </w:tc>
        <w:tc>
          <w:tcPr>
            <w:tcW w:w="1084" w:type="dxa"/>
            <w:tcBorders>
              <w:top w:val="single" w:color="auto" w:sz="4" w:space="0"/>
              <w:left w:val="nil"/>
              <w:bottom w:val="single" w:color="000000" w:sz="4" w:space="0"/>
              <w:right w:val="single" w:color="000000" w:sz="4" w:space="0"/>
            </w:tcBorders>
            <w:noWrap w:val="0"/>
            <w:vAlign w:val="center"/>
          </w:tcPr>
          <w:p w14:paraId="2196E93E">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年龄</w:t>
            </w:r>
          </w:p>
        </w:tc>
        <w:tc>
          <w:tcPr>
            <w:tcW w:w="1333" w:type="dxa"/>
            <w:gridSpan w:val="2"/>
            <w:tcBorders>
              <w:top w:val="single" w:color="auto" w:sz="4" w:space="0"/>
              <w:left w:val="nil"/>
              <w:bottom w:val="single" w:color="000000" w:sz="4" w:space="0"/>
              <w:right w:val="single" w:color="000000" w:sz="4" w:space="0"/>
            </w:tcBorders>
            <w:noWrap w:val="0"/>
            <w:vAlign w:val="center"/>
          </w:tcPr>
          <w:p w14:paraId="2B5F8CE3">
            <w:pPr>
              <w:autoSpaceDE w:val="0"/>
              <w:autoSpaceDN w:val="0"/>
              <w:snapToGrid w:val="0"/>
              <w:spacing w:line="360" w:lineRule="auto"/>
              <w:jc w:val="center"/>
              <w:rPr>
                <w:rFonts w:ascii="仿宋" w:hAnsi="仿宋" w:eastAsia="仿宋" w:cs="仿宋"/>
                <w:color w:val="auto"/>
                <w:kern w:val="0"/>
                <w:sz w:val="24"/>
                <w:highlight w:val="none"/>
              </w:rPr>
            </w:pPr>
          </w:p>
        </w:tc>
        <w:tc>
          <w:tcPr>
            <w:tcW w:w="2036" w:type="dxa"/>
            <w:gridSpan w:val="2"/>
            <w:tcBorders>
              <w:top w:val="single" w:color="auto" w:sz="4" w:space="0"/>
              <w:left w:val="nil"/>
              <w:bottom w:val="single" w:color="000000" w:sz="4" w:space="0"/>
              <w:right w:val="single" w:color="000000" w:sz="4" w:space="0"/>
            </w:tcBorders>
            <w:noWrap w:val="0"/>
            <w:vAlign w:val="center"/>
          </w:tcPr>
          <w:p w14:paraId="7CF218DD">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学历</w:t>
            </w:r>
          </w:p>
        </w:tc>
        <w:tc>
          <w:tcPr>
            <w:tcW w:w="1778" w:type="dxa"/>
            <w:tcBorders>
              <w:top w:val="single" w:color="auto" w:sz="4" w:space="0"/>
              <w:left w:val="nil"/>
              <w:bottom w:val="single" w:color="000000" w:sz="4" w:space="0"/>
              <w:right w:val="single" w:color="000000" w:sz="4" w:space="0"/>
            </w:tcBorders>
            <w:noWrap w:val="0"/>
            <w:vAlign w:val="center"/>
          </w:tcPr>
          <w:p w14:paraId="42B29220">
            <w:pPr>
              <w:autoSpaceDE w:val="0"/>
              <w:autoSpaceDN w:val="0"/>
              <w:snapToGrid w:val="0"/>
              <w:spacing w:line="360" w:lineRule="auto"/>
              <w:jc w:val="center"/>
              <w:rPr>
                <w:rFonts w:ascii="仿宋" w:hAnsi="仿宋" w:eastAsia="仿宋" w:cs="仿宋"/>
                <w:color w:val="auto"/>
                <w:kern w:val="0"/>
                <w:sz w:val="24"/>
                <w:highlight w:val="none"/>
              </w:rPr>
            </w:pPr>
          </w:p>
        </w:tc>
      </w:tr>
      <w:tr w14:paraId="07C293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187" w:type="dxa"/>
            <w:tcBorders>
              <w:top w:val="nil"/>
              <w:left w:val="single" w:color="auto" w:sz="4" w:space="0"/>
              <w:bottom w:val="single" w:color="000000" w:sz="4" w:space="0"/>
              <w:right w:val="single" w:color="000000" w:sz="4" w:space="0"/>
            </w:tcBorders>
            <w:noWrap w:val="0"/>
            <w:vAlign w:val="center"/>
          </w:tcPr>
          <w:p w14:paraId="56430B5B">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职称</w:t>
            </w:r>
          </w:p>
        </w:tc>
        <w:tc>
          <w:tcPr>
            <w:tcW w:w="1374" w:type="dxa"/>
            <w:gridSpan w:val="2"/>
            <w:tcBorders>
              <w:top w:val="nil"/>
              <w:left w:val="nil"/>
              <w:bottom w:val="single" w:color="000000" w:sz="4" w:space="0"/>
              <w:right w:val="single" w:color="000000" w:sz="4" w:space="0"/>
            </w:tcBorders>
            <w:noWrap w:val="0"/>
            <w:vAlign w:val="center"/>
          </w:tcPr>
          <w:p w14:paraId="30E87436">
            <w:pPr>
              <w:autoSpaceDE w:val="0"/>
              <w:autoSpaceDN w:val="0"/>
              <w:snapToGrid w:val="0"/>
              <w:spacing w:line="360" w:lineRule="auto"/>
              <w:jc w:val="center"/>
              <w:rPr>
                <w:rFonts w:ascii="仿宋" w:hAnsi="仿宋" w:eastAsia="仿宋" w:cs="仿宋"/>
                <w:color w:val="auto"/>
                <w:kern w:val="0"/>
                <w:sz w:val="24"/>
                <w:highlight w:val="none"/>
              </w:rPr>
            </w:pPr>
          </w:p>
        </w:tc>
        <w:tc>
          <w:tcPr>
            <w:tcW w:w="1084" w:type="dxa"/>
            <w:tcBorders>
              <w:top w:val="nil"/>
              <w:left w:val="nil"/>
              <w:bottom w:val="single" w:color="000000" w:sz="4" w:space="0"/>
              <w:right w:val="single" w:color="000000" w:sz="4" w:space="0"/>
            </w:tcBorders>
            <w:noWrap w:val="0"/>
            <w:vAlign w:val="center"/>
          </w:tcPr>
          <w:p w14:paraId="76DF1FD2">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职务</w:t>
            </w:r>
          </w:p>
        </w:tc>
        <w:tc>
          <w:tcPr>
            <w:tcW w:w="1333" w:type="dxa"/>
            <w:gridSpan w:val="2"/>
            <w:tcBorders>
              <w:top w:val="nil"/>
              <w:left w:val="nil"/>
              <w:bottom w:val="single" w:color="000000" w:sz="4" w:space="0"/>
              <w:right w:val="single" w:color="000000" w:sz="4" w:space="0"/>
            </w:tcBorders>
            <w:noWrap w:val="0"/>
            <w:vAlign w:val="center"/>
          </w:tcPr>
          <w:p w14:paraId="4AEFF369">
            <w:pPr>
              <w:autoSpaceDE w:val="0"/>
              <w:autoSpaceDN w:val="0"/>
              <w:snapToGrid w:val="0"/>
              <w:spacing w:line="360" w:lineRule="auto"/>
              <w:jc w:val="center"/>
              <w:rPr>
                <w:rFonts w:ascii="仿宋" w:hAnsi="仿宋" w:eastAsia="仿宋" w:cs="仿宋"/>
                <w:color w:val="auto"/>
                <w:kern w:val="0"/>
                <w:sz w:val="24"/>
                <w:highlight w:val="none"/>
              </w:rPr>
            </w:pPr>
          </w:p>
        </w:tc>
        <w:tc>
          <w:tcPr>
            <w:tcW w:w="2036" w:type="dxa"/>
            <w:gridSpan w:val="2"/>
            <w:tcBorders>
              <w:top w:val="nil"/>
              <w:left w:val="nil"/>
              <w:bottom w:val="single" w:color="000000" w:sz="4" w:space="0"/>
              <w:right w:val="single" w:color="000000" w:sz="4" w:space="0"/>
            </w:tcBorders>
            <w:noWrap w:val="0"/>
            <w:vAlign w:val="center"/>
          </w:tcPr>
          <w:p w14:paraId="693ACE76">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拟在本合同任职</w:t>
            </w:r>
          </w:p>
        </w:tc>
        <w:tc>
          <w:tcPr>
            <w:tcW w:w="1778" w:type="dxa"/>
            <w:tcBorders>
              <w:top w:val="nil"/>
              <w:left w:val="nil"/>
              <w:bottom w:val="single" w:color="000000" w:sz="4" w:space="0"/>
              <w:right w:val="single" w:color="000000" w:sz="4" w:space="0"/>
            </w:tcBorders>
            <w:noWrap w:val="0"/>
            <w:vAlign w:val="center"/>
          </w:tcPr>
          <w:p w14:paraId="7AF5928A">
            <w:pPr>
              <w:autoSpaceDE w:val="0"/>
              <w:autoSpaceDN w:val="0"/>
              <w:snapToGrid w:val="0"/>
              <w:spacing w:line="360" w:lineRule="auto"/>
              <w:jc w:val="center"/>
              <w:rPr>
                <w:rFonts w:ascii="仿宋" w:hAnsi="仿宋" w:eastAsia="仿宋" w:cs="仿宋"/>
                <w:color w:val="auto"/>
                <w:kern w:val="0"/>
                <w:sz w:val="24"/>
                <w:highlight w:val="none"/>
              </w:rPr>
            </w:pPr>
          </w:p>
        </w:tc>
      </w:tr>
      <w:tr w14:paraId="020D7D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187" w:type="dxa"/>
            <w:tcBorders>
              <w:top w:val="nil"/>
              <w:left w:val="single" w:color="auto" w:sz="4" w:space="0"/>
              <w:bottom w:val="single" w:color="000000" w:sz="4" w:space="0"/>
              <w:right w:val="single" w:color="000000" w:sz="4" w:space="0"/>
            </w:tcBorders>
            <w:noWrap w:val="0"/>
            <w:vAlign w:val="center"/>
          </w:tcPr>
          <w:p w14:paraId="0E59AE47">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毕业学校</w:t>
            </w:r>
          </w:p>
        </w:tc>
        <w:tc>
          <w:tcPr>
            <w:tcW w:w="7605" w:type="dxa"/>
            <w:gridSpan w:val="8"/>
            <w:tcBorders>
              <w:top w:val="nil"/>
              <w:left w:val="nil"/>
              <w:bottom w:val="single" w:color="000000" w:sz="4" w:space="0"/>
              <w:right w:val="single" w:color="000000" w:sz="4" w:space="0"/>
            </w:tcBorders>
            <w:noWrap w:val="0"/>
            <w:vAlign w:val="center"/>
          </w:tcPr>
          <w:p w14:paraId="4B13DE23">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年毕业于                学校              专业</w:t>
            </w:r>
          </w:p>
        </w:tc>
      </w:tr>
      <w:tr w14:paraId="24DB3C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8792" w:type="dxa"/>
            <w:gridSpan w:val="9"/>
            <w:tcBorders>
              <w:top w:val="nil"/>
              <w:left w:val="single" w:color="auto" w:sz="4" w:space="0"/>
              <w:bottom w:val="single" w:color="000000" w:sz="4" w:space="0"/>
              <w:right w:val="single" w:color="000000" w:sz="4" w:space="0"/>
            </w:tcBorders>
            <w:noWrap w:val="0"/>
            <w:vAlign w:val="center"/>
          </w:tcPr>
          <w:p w14:paraId="1B45DA71">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主要工作经历</w:t>
            </w:r>
          </w:p>
        </w:tc>
      </w:tr>
      <w:tr w14:paraId="4FE528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318AF16D">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时间</w:t>
            </w:r>
          </w:p>
        </w:tc>
        <w:tc>
          <w:tcPr>
            <w:tcW w:w="3132" w:type="dxa"/>
            <w:gridSpan w:val="3"/>
            <w:tcBorders>
              <w:top w:val="nil"/>
              <w:left w:val="nil"/>
              <w:bottom w:val="single" w:color="000000" w:sz="4" w:space="0"/>
              <w:right w:val="single" w:color="000000" w:sz="4" w:space="0"/>
            </w:tcBorders>
            <w:noWrap w:val="0"/>
            <w:vAlign w:val="center"/>
          </w:tcPr>
          <w:p w14:paraId="2CAE31CB">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参加过的类似项目</w:t>
            </w:r>
          </w:p>
        </w:tc>
        <w:tc>
          <w:tcPr>
            <w:tcW w:w="1477" w:type="dxa"/>
            <w:gridSpan w:val="2"/>
            <w:tcBorders>
              <w:top w:val="nil"/>
              <w:left w:val="nil"/>
              <w:bottom w:val="single" w:color="000000" w:sz="4" w:space="0"/>
              <w:right w:val="single" w:color="000000" w:sz="4" w:space="0"/>
            </w:tcBorders>
            <w:noWrap w:val="0"/>
            <w:vAlign w:val="center"/>
          </w:tcPr>
          <w:p w14:paraId="56F0E9AF">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担任职务</w:t>
            </w:r>
          </w:p>
        </w:tc>
        <w:tc>
          <w:tcPr>
            <w:tcW w:w="2603" w:type="dxa"/>
            <w:gridSpan w:val="2"/>
            <w:tcBorders>
              <w:top w:val="nil"/>
              <w:left w:val="nil"/>
              <w:bottom w:val="single" w:color="000000" w:sz="4" w:space="0"/>
              <w:right w:val="single" w:color="000000" w:sz="4" w:space="0"/>
            </w:tcBorders>
            <w:noWrap w:val="0"/>
            <w:vAlign w:val="center"/>
          </w:tcPr>
          <w:p w14:paraId="6FED3DEE">
            <w:pPr>
              <w:autoSpaceDE w:val="0"/>
              <w:autoSpaceDN w:val="0"/>
              <w:snapToGrid w:val="0"/>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发包人及联系电话</w:t>
            </w:r>
          </w:p>
        </w:tc>
      </w:tr>
      <w:tr w14:paraId="749BE4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7C754F1C">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2568162C">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2A08B9B2">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20DB86AB">
            <w:pPr>
              <w:autoSpaceDE w:val="0"/>
              <w:autoSpaceDN w:val="0"/>
              <w:snapToGrid w:val="0"/>
              <w:spacing w:line="360" w:lineRule="auto"/>
              <w:jc w:val="center"/>
              <w:rPr>
                <w:rFonts w:ascii="仿宋" w:hAnsi="仿宋" w:eastAsia="仿宋" w:cs="仿宋"/>
                <w:color w:val="auto"/>
                <w:kern w:val="0"/>
                <w:sz w:val="24"/>
                <w:highlight w:val="none"/>
              </w:rPr>
            </w:pPr>
          </w:p>
        </w:tc>
      </w:tr>
      <w:tr w14:paraId="240CED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51616C08">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189456CA">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603618C1">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6BB216A4">
            <w:pPr>
              <w:autoSpaceDE w:val="0"/>
              <w:autoSpaceDN w:val="0"/>
              <w:snapToGrid w:val="0"/>
              <w:spacing w:line="360" w:lineRule="auto"/>
              <w:jc w:val="center"/>
              <w:rPr>
                <w:rFonts w:ascii="仿宋" w:hAnsi="仿宋" w:eastAsia="仿宋" w:cs="仿宋"/>
                <w:color w:val="auto"/>
                <w:kern w:val="0"/>
                <w:sz w:val="24"/>
                <w:highlight w:val="none"/>
              </w:rPr>
            </w:pPr>
          </w:p>
        </w:tc>
      </w:tr>
      <w:tr w14:paraId="1A63E4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562128DA">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057515D5">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4B939465">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5FCE8167">
            <w:pPr>
              <w:autoSpaceDE w:val="0"/>
              <w:autoSpaceDN w:val="0"/>
              <w:snapToGrid w:val="0"/>
              <w:spacing w:line="360" w:lineRule="auto"/>
              <w:jc w:val="center"/>
              <w:rPr>
                <w:rFonts w:ascii="仿宋" w:hAnsi="仿宋" w:eastAsia="仿宋" w:cs="仿宋"/>
                <w:color w:val="auto"/>
                <w:kern w:val="0"/>
                <w:sz w:val="24"/>
                <w:highlight w:val="none"/>
              </w:rPr>
            </w:pPr>
          </w:p>
        </w:tc>
      </w:tr>
      <w:tr w14:paraId="473F3D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4B7AD0BF">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66CF45FE">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3453E4E1">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17BA18AC">
            <w:pPr>
              <w:autoSpaceDE w:val="0"/>
              <w:autoSpaceDN w:val="0"/>
              <w:snapToGrid w:val="0"/>
              <w:spacing w:line="360" w:lineRule="auto"/>
              <w:jc w:val="center"/>
              <w:rPr>
                <w:rFonts w:ascii="仿宋" w:hAnsi="仿宋" w:eastAsia="仿宋" w:cs="仿宋"/>
                <w:color w:val="auto"/>
                <w:kern w:val="0"/>
                <w:sz w:val="24"/>
                <w:highlight w:val="none"/>
              </w:rPr>
            </w:pPr>
          </w:p>
        </w:tc>
      </w:tr>
      <w:tr w14:paraId="51D6D4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0B6450B8">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535B2178">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6DE3D26B">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646729FF">
            <w:pPr>
              <w:autoSpaceDE w:val="0"/>
              <w:autoSpaceDN w:val="0"/>
              <w:snapToGrid w:val="0"/>
              <w:spacing w:line="360" w:lineRule="auto"/>
              <w:jc w:val="center"/>
              <w:rPr>
                <w:rFonts w:ascii="仿宋" w:hAnsi="仿宋" w:eastAsia="仿宋" w:cs="仿宋"/>
                <w:color w:val="auto"/>
                <w:kern w:val="0"/>
                <w:sz w:val="24"/>
                <w:highlight w:val="none"/>
              </w:rPr>
            </w:pPr>
          </w:p>
        </w:tc>
      </w:tr>
      <w:tr w14:paraId="68E039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432A5B6A">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28B520E7">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0F8C35BC">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2E4B1688">
            <w:pPr>
              <w:autoSpaceDE w:val="0"/>
              <w:autoSpaceDN w:val="0"/>
              <w:snapToGrid w:val="0"/>
              <w:spacing w:line="360" w:lineRule="auto"/>
              <w:jc w:val="center"/>
              <w:rPr>
                <w:rFonts w:ascii="仿宋" w:hAnsi="仿宋" w:eastAsia="仿宋" w:cs="仿宋"/>
                <w:color w:val="auto"/>
                <w:kern w:val="0"/>
                <w:sz w:val="24"/>
                <w:highlight w:val="none"/>
              </w:rPr>
            </w:pPr>
          </w:p>
        </w:tc>
      </w:tr>
      <w:tr w14:paraId="6666F6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76E8FC8E">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0E0E0CDB">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5E3002FF">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39153B99">
            <w:pPr>
              <w:autoSpaceDE w:val="0"/>
              <w:autoSpaceDN w:val="0"/>
              <w:snapToGrid w:val="0"/>
              <w:spacing w:line="360" w:lineRule="auto"/>
              <w:jc w:val="center"/>
              <w:rPr>
                <w:rFonts w:ascii="仿宋" w:hAnsi="仿宋" w:eastAsia="仿宋" w:cs="仿宋"/>
                <w:color w:val="auto"/>
                <w:kern w:val="0"/>
                <w:sz w:val="24"/>
                <w:highlight w:val="none"/>
              </w:rPr>
            </w:pPr>
          </w:p>
        </w:tc>
      </w:tr>
      <w:tr w14:paraId="78C57A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1DDA651C">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20033323">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4145AD88">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6E753C38">
            <w:pPr>
              <w:autoSpaceDE w:val="0"/>
              <w:autoSpaceDN w:val="0"/>
              <w:snapToGrid w:val="0"/>
              <w:spacing w:line="360" w:lineRule="auto"/>
              <w:jc w:val="center"/>
              <w:rPr>
                <w:rFonts w:ascii="仿宋" w:hAnsi="仿宋" w:eastAsia="仿宋" w:cs="仿宋"/>
                <w:color w:val="auto"/>
                <w:kern w:val="0"/>
                <w:sz w:val="24"/>
                <w:highlight w:val="none"/>
              </w:rPr>
            </w:pPr>
          </w:p>
        </w:tc>
      </w:tr>
      <w:tr w14:paraId="48C9B9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4" w:hRule="atLeast"/>
          <w:jc w:val="center"/>
        </w:trPr>
        <w:tc>
          <w:tcPr>
            <w:tcW w:w="1580" w:type="dxa"/>
            <w:gridSpan w:val="2"/>
            <w:tcBorders>
              <w:top w:val="nil"/>
              <w:left w:val="single" w:color="auto" w:sz="4" w:space="0"/>
              <w:bottom w:val="single" w:color="000000" w:sz="4" w:space="0"/>
              <w:right w:val="single" w:color="000000" w:sz="4" w:space="0"/>
            </w:tcBorders>
            <w:noWrap w:val="0"/>
            <w:vAlign w:val="center"/>
          </w:tcPr>
          <w:p w14:paraId="66EA3F9B">
            <w:pPr>
              <w:autoSpaceDE w:val="0"/>
              <w:autoSpaceDN w:val="0"/>
              <w:snapToGrid w:val="0"/>
              <w:spacing w:line="360" w:lineRule="auto"/>
              <w:jc w:val="center"/>
              <w:rPr>
                <w:rFonts w:ascii="仿宋" w:hAnsi="仿宋" w:eastAsia="仿宋" w:cs="仿宋"/>
                <w:color w:val="auto"/>
                <w:kern w:val="0"/>
                <w:sz w:val="24"/>
                <w:highlight w:val="none"/>
              </w:rPr>
            </w:pPr>
          </w:p>
        </w:tc>
        <w:tc>
          <w:tcPr>
            <w:tcW w:w="3132" w:type="dxa"/>
            <w:gridSpan w:val="3"/>
            <w:tcBorders>
              <w:top w:val="nil"/>
              <w:left w:val="nil"/>
              <w:bottom w:val="single" w:color="000000" w:sz="4" w:space="0"/>
              <w:right w:val="single" w:color="000000" w:sz="4" w:space="0"/>
            </w:tcBorders>
            <w:noWrap w:val="0"/>
            <w:vAlign w:val="center"/>
          </w:tcPr>
          <w:p w14:paraId="071188A2">
            <w:pPr>
              <w:autoSpaceDE w:val="0"/>
              <w:autoSpaceDN w:val="0"/>
              <w:snapToGrid w:val="0"/>
              <w:spacing w:line="360" w:lineRule="auto"/>
              <w:jc w:val="center"/>
              <w:rPr>
                <w:rFonts w:ascii="仿宋" w:hAnsi="仿宋" w:eastAsia="仿宋" w:cs="仿宋"/>
                <w:color w:val="auto"/>
                <w:kern w:val="0"/>
                <w:sz w:val="24"/>
                <w:highlight w:val="none"/>
              </w:rPr>
            </w:pPr>
          </w:p>
        </w:tc>
        <w:tc>
          <w:tcPr>
            <w:tcW w:w="1477" w:type="dxa"/>
            <w:gridSpan w:val="2"/>
            <w:tcBorders>
              <w:top w:val="nil"/>
              <w:left w:val="nil"/>
              <w:bottom w:val="single" w:color="000000" w:sz="4" w:space="0"/>
              <w:right w:val="single" w:color="000000" w:sz="4" w:space="0"/>
            </w:tcBorders>
            <w:noWrap w:val="0"/>
            <w:vAlign w:val="center"/>
          </w:tcPr>
          <w:p w14:paraId="79A01CEC">
            <w:pPr>
              <w:autoSpaceDE w:val="0"/>
              <w:autoSpaceDN w:val="0"/>
              <w:snapToGrid w:val="0"/>
              <w:spacing w:line="360" w:lineRule="auto"/>
              <w:jc w:val="center"/>
              <w:rPr>
                <w:rFonts w:ascii="仿宋" w:hAnsi="仿宋" w:eastAsia="仿宋" w:cs="仿宋"/>
                <w:color w:val="auto"/>
                <w:kern w:val="0"/>
                <w:sz w:val="24"/>
                <w:highlight w:val="none"/>
              </w:rPr>
            </w:pPr>
          </w:p>
        </w:tc>
        <w:tc>
          <w:tcPr>
            <w:tcW w:w="2603" w:type="dxa"/>
            <w:gridSpan w:val="2"/>
            <w:tcBorders>
              <w:top w:val="nil"/>
              <w:left w:val="nil"/>
              <w:bottom w:val="single" w:color="000000" w:sz="4" w:space="0"/>
              <w:right w:val="single" w:color="000000" w:sz="4" w:space="0"/>
            </w:tcBorders>
            <w:noWrap w:val="0"/>
            <w:vAlign w:val="center"/>
          </w:tcPr>
          <w:p w14:paraId="59B36AE6">
            <w:pPr>
              <w:autoSpaceDE w:val="0"/>
              <w:autoSpaceDN w:val="0"/>
              <w:snapToGrid w:val="0"/>
              <w:spacing w:line="360" w:lineRule="auto"/>
              <w:jc w:val="center"/>
              <w:rPr>
                <w:rFonts w:ascii="仿宋" w:hAnsi="仿宋" w:eastAsia="仿宋" w:cs="仿宋"/>
                <w:color w:val="auto"/>
                <w:kern w:val="0"/>
                <w:sz w:val="24"/>
                <w:highlight w:val="none"/>
              </w:rPr>
            </w:pPr>
          </w:p>
        </w:tc>
      </w:tr>
    </w:tbl>
    <w:p w14:paraId="07F3E601">
      <w:pPr>
        <w:pStyle w:val="8"/>
        <w:rPr>
          <w:rFonts w:ascii="仿宋" w:hAnsi="仿宋" w:eastAsia="仿宋" w:cs="仿宋"/>
          <w:color w:val="auto"/>
          <w:highlight w:val="none"/>
        </w:rPr>
      </w:pPr>
    </w:p>
    <w:p w14:paraId="050427C7">
      <w:pP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br w:type="page"/>
      </w:r>
      <w:bookmarkStart w:id="642" w:name="_Toc13728"/>
      <w:bookmarkStart w:id="643" w:name="_Toc2795"/>
      <w:bookmarkStart w:id="644" w:name="_Toc8423619"/>
      <w:bookmarkStart w:id="645" w:name="_Toc16958"/>
      <w:bookmarkStart w:id="646" w:name="_Toc108197485"/>
    </w:p>
    <w:p w14:paraId="40B27B10">
      <w:pPr>
        <w:pStyle w:val="52"/>
        <w:spacing w:before="156" w:beforeLines="50" w:line="360" w:lineRule="auto"/>
        <w:jc w:val="center"/>
        <w:rPr>
          <w:rFonts w:hint="eastAsia" w:ascii="仿宋" w:hAnsi="仿宋" w:eastAsia="仿宋" w:cs="仿宋"/>
          <w:b/>
          <w:color w:val="auto"/>
          <w:szCs w:val="23"/>
          <w:highlight w:val="none"/>
        </w:rPr>
      </w:pPr>
      <w:bookmarkStart w:id="647" w:name="_Toc23226"/>
      <w:bookmarkStart w:id="648" w:name="_Toc14235"/>
      <w:bookmarkStart w:id="649" w:name="_Toc31497"/>
      <w:bookmarkStart w:id="650" w:name="_Toc24852"/>
      <w:r>
        <w:rPr>
          <w:rFonts w:hint="eastAsia" w:ascii="仿宋" w:hAnsi="仿宋" w:eastAsia="仿宋" w:cs="仿宋"/>
          <w:b/>
          <w:color w:val="auto"/>
          <w:szCs w:val="23"/>
          <w:highlight w:val="none"/>
        </w:rPr>
        <w:t>（三）项目经理无在</w:t>
      </w:r>
      <w:r>
        <w:rPr>
          <w:rFonts w:hint="default" w:ascii="仿宋" w:hAnsi="仿宋" w:eastAsia="仿宋" w:cs="仿宋"/>
          <w:b/>
          <w:color w:val="auto"/>
          <w:szCs w:val="23"/>
          <w:highlight w:val="none"/>
          <w:lang w:val="en-US"/>
        </w:rPr>
        <w:t>建</w:t>
      </w:r>
      <w:r>
        <w:rPr>
          <w:rFonts w:hint="eastAsia" w:ascii="仿宋" w:hAnsi="仿宋" w:eastAsia="仿宋" w:cs="仿宋"/>
          <w:b/>
          <w:color w:val="auto"/>
          <w:szCs w:val="23"/>
          <w:highlight w:val="none"/>
        </w:rPr>
        <w:t>承诺书</w:t>
      </w:r>
      <w:bookmarkEnd w:id="642"/>
      <w:bookmarkEnd w:id="643"/>
      <w:bookmarkEnd w:id="644"/>
      <w:bookmarkEnd w:id="645"/>
      <w:bookmarkEnd w:id="646"/>
      <w:bookmarkEnd w:id="647"/>
      <w:bookmarkEnd w:id="648"/>
      <w:bookmarkEnd w:id="649"/>
      <w:bookmarkEnd w:id="650"/>
    </w:p>
    <w:p w14:paraId="70DA9EB8">
      <w:pPr>
        <w:spacing w:line="360" w:lineRule="auto"/>
        <w:rPr>
          <w:rFonts w:ascii="仿宋" w:hAnsi="仿宋" w:eastAsia="仿宋" w:cs="仿宋"/>
          <w:color w:val="auto"/>
          <w:kern w:val="0"/>
          <w:sz w:val="24"/>
          <w:highlight w:val="none"/>
        </w:rPr>
      </w:pPr>
    </w:p>
    <w:p w14:paraId="44D0FBC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承 诺 书</w:t>
      </w:r>
    </w:p>
    <w:p w14:paraId="737E559B">
      <w:pPr>
        <w:pStyle w:val="22"/>
        <w:widowControl/>
        <w:spacing w:line="360" w:lineRule="auto"/>
        <w:rPr>
          <w:rFonts w:ascii="仿宋" w:hAnsi="仿宋" w:eastAsia="仿宋" w:cs="仿宋"/>
          <w:color w:val="auto"/>
          <w:highlight w:val="none"/>
        </w:rPr>
      </w:pPr>
      <w:r>
        <w:rPr>
          <w:rFonts w:hint="eastAsia" w:ascii="仿宋" w:hAnsi="仿宋" w:eastAsia="仿宋" w:cs="仿宋"/>
          <w:color w:val="auto"/>
          <w:highlight w:val="none"/>
        </w:rPr>
        <w:t>致：</w:t>
      </w:r>
      <w:r>
        <w:rPr>
          <w:rFonts w:hint="eastAsia" w:ascii="仿宋" w:hAnsi="仿宋" w:eastAsia="仿宋" w:cs="仿宋"/>
          <w:color w:val="auto"/>
          <w:highlight w:val="none"/>
          <w:u w:val="single"/>
        </w:rPr>
        <w:t xml:space="preserve">        （招标人）         </w:t>
      </w:r>
    </w:p>
    <w:p w14:paraId="00495BE2">
      <w:pPr>
        <w:pStyle w:val="22"/>
        <w:widowControl/>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我方在此声明，我方拟派往</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（项目名称）的项目经理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中标后未担任其他任何在施建设工程项目的项目经理。</w:t>
      </w:r>
    </w:p>
    <w:p w14:paraId="48457637">
      <w:pPr>
        <w:pStyle w:val="22"/>
        <w:widowControl/>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我方保证上述信息的真实准确，并愿意承担我方就此弄虚作假所引起的一切法律后果。</w:t>
      </w:r>
    </w:p>
    <w:p w14:paraId="0A0B6D9D">
      <w:pPr>
        <w:pStyle w:val="22"/>
        <w:widowControl/>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特此承诺！</w:t>
      </w:r>
    </w:p>
    <w:p w14:paraId="0D1C501D">
      <w:pPr>
        <w:pStyle w:val="22"/>
        <w:widowControl/>
        <w:spacing w:line="360" w:lineRule="auto"/>
        <w:rPr>
          <w:rFonts w:ascii="仿宋" w:hAnsi="仿宋" w:eastAsia="仿宋" w:cs="仿宋"/>
          <w:color w:val="auto"/>
          <w:highlight w:val="none"/>
        </w:rPr>
      </w:pPr>
    </w:p>
    <w:p w14:paraId="15CC797A">
      <w:pPr>
        <w:rPr>
          <w:rFonts w:ascii="仿宋" w:hAnsi="仿宋" w:eastAsia="仿宋" w:cs="仿宋"/>
          <w:color w:val="auto"/>
          <w:highlight w:val="none"/>
        </w:rPr>
      </w:pPr>
    </w:p>
    <w:p w14:paraId="7CB46C57">
      <w:pPr>
        <w:rPr>
          <w:rFonts w:ascii="仿宋" w:hAnsi="仿宋" w:eastAsia="仿宋" w:cs="仿宋"/>
          <w:color w:val="auto"/>
          <w:highlight w:val="none"/>
        </w:rPr>
      </w:pPr>
    </w:p>
    <w:p w14:paraId="65241910">
      <w:pPr>
        <w:rPr>
          <w:rFonts w:ascii="仿宋" w:hAnsi="仿宋" w:eastAsia="仿宋" w:cs="仿宋"/>
          <w:color w:val="auto"/>
          <w:highlight w:val="none"/>
        </w:rPr>
      </w:pPr>
    </w:p>
    <w:p w14:paraId="47E40410">
      <w:pPr>
        <w:pStyle w:val="22"/>
        <w:widowControl/>
        <w:wordWrap w:val="0"/>
        <w:spacing w:line="360" w:lineRule="auto"/>
        <w:ind w:firstLine="564"/>
        <w:jc w:val="right"/>
        <w:rPr>
          <w:rFonts w:ascii="仿宋" w:hAnsi="仿宋" w:eastAsia="仿宋" w:cs="仿宋"/>
          <w:color w:val="auto"/>
          <w:highlight w:val="none"/>
        </w:rPr>
      </w:pPr>
      <w:r>
        <w:rPr>
          <w:rFonts w:hint="eastAsia" w:ascii="仿宋" w:hAnsi="仿宋" w:eastAsia="仿宋" w:cs="仿宋"/>
          <w:color w:val="auto"/>
          <w:highlight w:val="none"/>
        </w:rPr>
        <w:t>投 标 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（盖单位公章）</w:t>
      </w:r>
    </w:p>
    <w:p w14:paraId="2FA4A34E">
      <w:pPr>
        <w:pStyle w:val="22"/>
        <w:widowControl/>
        <w:wordWrap w:val="0"/>
        <w:spacing w:line="360" w:lineRule="auto"/>
        <w:ind w:firstLine="564"/>
        <w:jc w:val="right"/>
        <w:rPr>
          <w:rFonts w:ascii="仿宋" w:hAnsi="仿宋" w:eastAsia="仿宋" w:cs="仿宋"/>
          <w:color w:val="auto"/>
          <w:highlight w:val="none"/>
        </w:rPr>
      </w:pPr>
    </w:p>
    <w:p w14:paraId="192F219F">
      <w:pPr>
        <w:pStyle w:val="22"/>
        <w:widowControl/>
        <w:wordWrap w:val="0"/>
        <w:spacing w:line="360" w:lineRule="auto"/>
        <w:ind w:firstLine="564"/>
        <w:jc w:val="right"/>
        <w:rPr>
          <w:rFonts w:ascii="仿宋" w:hAnsi="仿宋" w:eastAsia="仿宋" w:cs="仿宋"/>
          <w:color w:val="auto"/>
          <w:highlight w:val="none"/>
        </w:rPr>
      </w:pPr>
      <w:r>
        <w:rPr>
          <w:rFonts w:hint="eastAsia" w:ascii="仿宋" w:hAnsi="仿宋" w:eastAsia="仿宋" w:cs="仿宋"/>
          <w:color w:val="auto"/>
          <w:highlight w:val="none"/>
        </w:rPr>
        <w:t>法定代表人或其委托代理人：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（签字或盖章）</w:t>
      </w:r>
    </w:p>
    <w:p w14:paraId="5BBA8CE3">
      <w:pPr>
        <w:pStyle w:val="22"/>
        <w:widowControl/>
        <w:wordWrap w:val="0"/>
        <w:spacing w:line="360" w:lineRule="auto"/>
        <w:ind w:firstLine="564"/>
        <w:jc w:val="right"/>
        <w:rPr>
          <w:rFonts w:ascii="仿宋" w:hAnsi="仿宋" w:eastAsia="仿宋" w:cs="仿宋"/>
          <w:color w:val="auto"/>
          <w:highlight w:val="none"/>
        </w:rPr>
      </w:pPr>
    </w:p>
    <w:p w14:paraId="073E5C73">
      <w:pPr>
        <w:pStyle w:val="22"/>
        <w:widowControl/>
        <w:wordWrap w:val="0"/>
        <w:spacing w:line="360" w:lineRule="auto"/>
        <w:ind w:firstLine="564"/>
        <w:jc w:val="right"/>
        <w:rPr>
          <w:rFonts w:ascii="仿宋" w:hAnsi="仿宋" w:eastAsia="仿宋" w:cs="仿宋"/>
          <w:color w:val="auto"/>
          <w:highlight w:val="none"/>
        </w:rPr>
      </w:pPr>
      <w:r>
        <w:rPr>
          <w:rFonts w:hint="eastAsia" w:ascii="仿宋" w:hAnsi="仿宋" w:eastAsia="仿宋" w:cs="仿宋"/>
          <w:color w:val="auto"/>
          <w:highlight w:val="none"/>
        </w:rPr>
        <w:t>项目经理本人：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（签字或盖章）</w:t>
      </w:r>
    </w:p>
    <w:p w14:paraId="362660C1">
      <w:pPr>
        <w:pStyle w:val="22"/>
        <w:widowControl/>
        <w:wordWrap w:val="0"/>
        <w:spacing w:line="360" w:lineRule="auto"/>
        <w:ind w:firstLine="564"/>
        <w:jc w:val="right"/>
        <w:rPr>
          <w:rFonts w:ascii="仿宋" w:hAnsi="仿宋" w:eastAsia="仿宋" w:cs="仿宋"/>
          <w:color w:val="auto"/>
          <w:highlight w:val="none"/>
        </w:rPr>
      </w:pPr>
    </w:p>
    <w:p w14:paraId="734D1C33">
      <w:pPr>
        <w:pStyle w:val="22"/>
        <w:widowControl/>
        <w:wordWrap w:val="0"/>
        <w:spacing w:line="360" w:lineRule="auto"/>
        <w:ind w:firstLine="564"/>
        <w:jc w:val="right"/>
        <w:rPr>
          <w:rFonts w:ascii="仿宋" w:hAnsi="仿宋" w:eastAsia="仿宋" w:cs="仿宋"/>
          <w:color w:val="auto"/>
          <w:highlight w:val="none"/>
        </w:rPr>
      </w:pPr>
      <w:r>
        <w:rPr>
          <w:rFonts w:hint="eastAsia" w:ascii="仿宋" w:hAnsi="仿宋" w:eastAsia="仿宋" w:cs="仿宋"/>
          <w:color w:val="auto"/>
          <w:highlight w:val="none"/>
        </w:rPr>
        <w:t>年     月     日</w:t>
      </w:r>
    </w:p>
    <w:p w14:paraId="2CA1A951">
      <w:pPr>
        <w:pStyle w:val="35"/>
        <w:spacing w:before="156"/>
        <w:jc w:val="center"/>
        <w:rPr>
          <w:rFonts w:hint="eastAsia" w:ascii="仿宋" w:hAnsi="仿宋" w:cs="仿宋"/>
          <w:b/>
          <w:color w:val="auto"/>
          <w:sz w:val="32"/>
          <w:highlight w:val="none"/>
        </w:rPr>
      </w:pPr>
      <w:r>
        <w:rPr>
          <w:rFonts w:hint="eastAsia" w:ascii="仿宋" w:hAnsi="仿宋" w:cs="仿宋"/>
          <w:b/>
          <w:color w:val="auto"/>
          <w:sz w:val="32"/>
          <w:highlight w:val="none"/>
        </w:rPr>
        <w:br w:type="page"/>
      </w:r>
      <w:bookmarkEnd w:id="627"/>
      <w:bookmarkStart w:id="651" w:name="_Toc31001"/>
      <w:bookmarkStart w:id="652" w:name="_Toc8074"/>
      <w:bookmarkStart w:id="653" w:name="_Toc23173"/>
      <w:r>
        <w:rPr>
          <w:rFonts w:hint="eastAsia" w:ascii="仿宋" w:hAnsi="仿宋" w:cs="仿宋"/>
          <w:b/>
          <w:color w:val="auto"/>
          <w:sz w:val="32"/>
          <w:highlight w:val="none"/>
          <w:lang w:val="en-US" w:eastAsia="zh-CN"/>
        </w:rPr>
        <w:t>十二</w:t>
      </w:r>
      <w:r>
        <w:rPr>
          <w:rFonts w:hint="eastAsia" w:ascii="仿宋" w:hAnsi="仿宋" w:cs="仿宋"/>
          <w:b/>
          <w:color w:val="auto"/>
          <w:sz w:val="32"/>
          <w:highlight w:val="none"/>
        </w:rPr>
        <w:t>、其他资料</w:t>
      </w:r>
      <w:bookmarkEnd w:id="651"/>
      <w:bookmarkEnd w:id="652"/>
      <w:bookmarkEnd w:id="653"/>
    </w:p>
    <w:p w14:paraId="10AE8BD7">
      <w:pPr>
        <w:jc w:val="center"/>
        <w:rPr>
          <w:rFonts w:hint="eastAsia" w:ascii="仿宋" w:hAnsi="仿宋" w:eastAsia="仿宋" w:cs="仿宋"/>
          <w:b w:val="0"/>
          <w:bCs w:val="0"/>
          <w:snapToGrid w:val="0"/>
          <w:color w:val="auto"/>
          <w:spacing w:val="6"/>
          <w:kern w:val="0"/>
          <w:sz w:val="32"/>
          <w:szCs w:val="32"/>
          <w:highlight w:val="none"/>
        </w:rPr>
      </w:pPr>
      <w:r>
        <w:rPr>
          <w:rFonts w:hint="eastAsia" w:ascii="仿宋" w:hAnsi="仿宋" w:eastAsia="仿宋" w:cs="仿宋"/>
          <w:b w:val="0"/>
          <w:bCs w:val="0"/>
          <w:snapToGrid w:val="0"/>
          <w:color w:val="auto"/>
          <w:spacing w:val="6"/>
          <w:kern w:val="0"/>
          <w:sz w:val="32"/>
          <w:szCs w:val="32"/>
          <w:highlight w:val="none"/>
          <w:lang w:eastAsia="zh-CN"/>
        </w:rPr>
        <w:t>（</w:t>
      </w:r>
      <w:r>
        <w:rPr>
          <w:rFonts w:hint="eastAsia" w:ascii="仿宋" w:hAnsi="仿宋" w:eastAsia="仿宋" w:cs="仿宋"/>
          <w:b w:val="0"/>
          <w:bCs w:val="0"/>
          <w:snapToGrid w:val="0"/>
          <w:color w:val="auto"/>
          <w:spacing w:val="6"/>
          <w:kern w:val="0"/>
          <w:sz w:val="32"/>
          <w:szCs w:val="32"/>
          <w:highlight w:val="none"/>
          <w:lang w:val="en-US" w:eastAsia="zh-CN"/>
        </w:rPr>
        <w:t>一</w:t>
      </w:r>
      <w:r>
        <w:rPr>
          <w:rFonts w:hint="eastAsia" w:ascii="仿宋" w:hAnsi="仿宋" w:eastAsia="仿宋" w:cs="仿宋"/>
          <w:b w:val="0"/>
          <w:bCs w:val="0"/>
          <w:snapToGrid w:val="0"/>
          <w:color w:val="auto"/>
          <w:spacing w:val="6"/>
          <w:kern w:val="0"/>
          <w:sz w:val="32"/>
          <w:szCs w:val="32"/>
          <w:highlight w:val="none"/>
          <w:lang w:eastAsia="zh-CN"/>
        </w:rPr>
        <w:t>）</w:t>
      </w:r>
      <w:r>
        <w:rPr>
          <w:rFonts w:hint="eastAsia" w:ascii="仿宋" w:hAnsi="仿宋" w:eastAsia="仿宋" w:cs="仿宋"/>
          <w:b w:val="0"/>
          <w:bCs w:val="0"/>
          <w:snapToGrid w:val="0"/>
          <w:color w:val="auto"/>
          <w:spacing w:val="6"/>
          <w:kern w:val="0"/>
          <w:sz w:val="32"/>
          <w:szCs w:val="32"/>
          <w:highlight w:val="none"/>
        </w:rPr>
        <w:t>代理费及时缴纳承诺函</w:t>
      </w:r>
    </w:p>
    <w:p w14:paraId="34F00842">
      <w:pPr>
        <w:autoSpaceDE w:val="0"/>
        <w:autoSpaceDN w:val="0"/>
        <w:adjustRightInd w:val="0"/>
        <w:ind w:left="0" w:leftChars="0" w:firstLine="585" w:firstLineChars="276"/>
        <w:rPr>
          <w:rFonts w:hint="eastAsia" w:ascii="仿宋" w:hAnsi="仿宋" w:eastAsia="仿宋" w:cs="仿宋"/>
          <w:snapToGrid w:val="0"/>
          <w:color w:val="auto"/>
          <w:spacing w:val="6"/>
          <w:kern w:val="0"/>
          <w:sz w:val="20"/>
          <w:szCs w:val="21"/>
          <w:highlight w:val="none"/>
        </w:rPr>
      </w:pPr>
    </w:p>
    <w:p w14:paraId="63621B33">
      <w:pPr>
        <w:autoSpaceDE w:val="0"/>
        <w:autoSpaceDN w:val="0"/>
        <w:adjustRightInd w:val="0"/>
        <w:rPr>
          <w:rFonts w:hint="eastAsia" w:ascii="仿宋" w:hAnsi="仿宋" w:eastAsia="仿宋" w:cs="仿宋"/>
          <w:snapToGrid w:val="0"/>
          <w:color w:val="auto"/>
          <w:spacing w:val="6"/>
          <w:kern w:val="0"/>
          <w:sz w:val="24"/>
          <w:szCs w:val="24"/>
          <w:highlight w:val="none"/>
        </w:rPr>
      </w:pPr>
      <w:r>
        <w:rPr>
          <w:rFonts w:hint="eastAsia" w:ascii="仿宋" w:hAnsi="仿宋" w:eastAsia="仿宋" w:cs="仿宋"/>
          <w:snapToGrid w:val="0"/>
          <w:color w:val="auto"/>
          <w:spacing w:val="6"/>
          <w:kern w:val="0"/>
          <w:sz w:val="24"/>
          <w:szCs w:val="24"/>
          <w:highlight w:val="none"/>
        </w:rPr>
        <w:t>我单位现对</w:t>
      </w:r>
      <w:r>
        <w:rPr>
          <w:rFonts w:hint="eastAsia" w:ascii="仿宋" w:hAnsi="仿宋" w:eastAsia="仿宋" w:cs="仿宋"/>
          <w:snapToGrid w:val="0"/>
          <w:color w:val="auto"/>
          <w:spacing w:val="6"/>
          <w:kern w:val="0"/>
          <w:sz w:val="24"/>
          <w:szCs w:val="24"/>
          <w:highlight w:val="none"/>
          <w:u w:val="single"/>
        </w:rPr>
        <w:t>（项目名称）</w:t>
      </w:r>
      <w:r>
        <w:rPr>
          <w:rFonts w:hint="eastAsia" w:ascii="仿宋" w:hAnsi="仿宋" w:eastAsia="仿宋" w:cs="仿宋"/>
          <w:snapToGrid w:val="0"/>
          <w:color w:val="auto"/>
          <w:spacing w:val="6"/>
          <w:kern w:val="0"/>
          <w:sz w:val="24"/>
          <w:szCs w:val="24"/>
          <w:highlight w:val="none"/>
        </w:rPr>
        <w:t>投标作出如下郑重承诺：</w:t>
      </w:r>
    </w:p>
    <w:p w14:paraId="59B9A37C">
      <w:pPr>
        <w:spacing w:line="440" w:lineRule="exact"/>
        <w:ind w:left="0" w:leftChars="0" w:firstLine="761" w:firstLineChars="302"/>
        <w:rPr>
          <w:rFonts w:hint="eastAsia" w:ascii="仿宋" w:hAnsi="仿宋" w:eastAsia="仿宋" w:cs="仿宋"/>
          <w:snapToGrid w:val="0"/>
          <w:color w:val="auto"/>
          <w:spacing w:val="6"/>
          <w:kern w:val="0"/>
          <w:sz w:val="24"/>
          <w:szCs w:val="24"/>
          <w:highlight w:val="none"/>
        </w:rPr>
      </w:pPr>
      <w:r>
        <w:rPr>
          <w:rFonts w:hint="eastAsia" w:ascii="仿宋" w:hAnsi="仿宋" w:eastAsia="仿宋" w:cs="仿宋"/>
          <w:snapToGrid w:val="0"/>
          <w:color w:val="auto"/>
          <w:spacing w:val="6"/>
          <w:kern w:val="0"/>
          <w:sz w:val="24"/>
          <w:szCs w:val="24"/>
          <w:highlight w:val="none"/>
        </w:rPr>
        <w:t>如果我方为本项目</w:t>
      </w:r>
      <w:r>
        <w:rPr>
          <w:rFonts w:hint="eastAsia" w:ascii="仿宋" w:hAnsi="仿宋" w:eastAsia="仿宋" w:cs="仿宋"/>
          <w:snapToGrid w:val="0"/>
          <w:color w:val="auto"/>
          <w:spacing w:val="6"/>
          <w:kern w:val="0"/>
          <w:sz w:val="24"/>
          <w:szCs w:val="24"/>
          <w:highlight w:val="none"/>
          <w:lang w:val="en-US" w:eastAsia="zh-CN"/>
        </w:rPr>
        <w:t>中标人</w:t>
      </w:r>
      <w:r>
        <w:rPr>
          <w:rFonts w:hint="eastAsia" w:ascii="仿宋" w:hAnsi="仿宋" w:eastAsia="仿宋" w:cs="仿宋"/>
          <w:snapToGrid w:val="0"/>
          <w:color w:val="auto"/>
          <w:spacing w:val="6"/>
          <w:kern w:val="0"/>
          <w:sz w:val="24"/>
          <w:szCs w:val="24"/>
          <w:highlight w:val="none"/>
        </w:rPr>
        <w:t>，能及时按照</w:t>
      </w:r>
      <w:r>
        <w:rPr>
          <w:rFonts w:hint="eastAsia" w:ascii="仿宋" w:hAnsi="仿宋" w:eastAsia="仿宋" w:cs="仿宋"/>
          <w:snapToGrid w:val="0"/>
          <w:color w:val="auto"/>
          <w:spacing w:val="6"/>
          <w:kern w:val="0"/>
          <w:sz w:val="24"/>
          <w:szCs w:val="24"/>
          <w:highlight w:val="none"/>
          <w:lang w:val="en-US" w:eastAsia="zh-CN"/>
        </w:rPr>
        <w:t>招标</w:t>
      </w:r>
      <w:r>
        <w:rPr>
          <w:rFonts w:hint="eastAsia" w:ascii="仿宋" w:hAnsi="仿宋" w:eastAsia="仿宋" w:cs="仿宋"/>
          <w:snapToGrid w:val="0"/>
          <w:color w:val="auto"/>
          <w:spacing w:val="6"/>
          <w:kern w:val="0"/>
          <w:sz w:val="24"/>
          <w:szCs w:val="24"/>
          <w:highlight w:val="none"/>
        </w:rPr>
        <w:t>文件的约定金额缴纳代理服务费，按时领取</w:t>
      </w:r>
      <w:r>
        <w:rPr>
          <w:rFonts w:hint="eastAsia" w:ascii="仿宋" w:hAnsi="仿宋" w:eastAsia="仿宋" w:cs="仿宋"/>
          <w:snapToGrid w:val="0"/>
          <w:color w:val="auto"/>
          <w:spacing w:val="6"/>
          <w:kern w:val="0"/>
          <w:sz w:val="24"/>
          <w:szCs w:val="24"/>
          <w:highlight w:val="none"/>
          <w:lang w:val="en-US" w:eastAsia="zh-CN"/>
        </w:rPr>
        <w:t>中标</w:t>
      </w:r>
      <w:r>
        <w:rPr>
          <w:rFonts w:hint="eastAsia" w:ascii="仿宋" w:hAnsi="仿宋" w:eastAsia="仿宋" w:cs="仿宋"/>
          <w:snapToGrid w:val="0"/>
          <w:color w:val="auto"/>
          <w:spacing w:val="6"/>
          <w:kern w:val="0"/>
          <w:sz w:val="24"/>
          <w:szCs w:val="24"/>
          <w:highlight w:val="none"/>
        </w:rPr>
        <w:t>通知书并与</w:t>
      </w:r>
      <w:r>
        <w:rPr>
          <w:rFonts w:hint="eastAsia" w:ascii="仿宋" w:hAnsi="仿宋" w:eastAsia="仿宋" w:cs="仿宋"/>
          <w:snapToGrid w:val="0"/>
          <w:color w:val="auto"/>
          <w:spacing w:val="6"/>
          <w:kern w:val="0"/>
          <w:sz w:val="24"/>
          <w:szCs w:val="24"/>
          <w:highlight w:val="none"/>
          <w:lang w:val="en-US" w:eastAsia="zh-CN"/>
        </w:rPr>
        <w:t>招标</w:t>
      </w:r>
      <w:r>
        <w:rPr>
          <w:rFonts w:hint="eastAsia" w:ascii="仿宋" w:hAnsi="仿宋" w:eastAsia="仿宋" w:cs="仿宋"/>
          <w:snapToGrid w:val="0"/>
          <w:color w:val="auto"/>
          <w:spacing w:val="6"/>
          <w:kern w:val="0"/>
          <w:sz w:val="24"/>
          <w:szCs w:val="24"/>
          <w:highlight w:val="none"/>
        </w:rPr>
        <w:t>人签订合同。如因我方原因违背上述承诺事项，视同我单位放弃</w:t>
      </w:r>
      <w:r>
        <w:rPr>
          <w:rFonts w:hint="eastAsia" w:ascii="仿宋" w:hAnsi="仿宋" w:eastAsia="仿宋" w:cs="仿宋"/>
          <w:snapToGrid w:val="0"/>
          <w:color w:val="auto"/>
          <w:spacing w:val="6"/>
          <w:kern w:val="0"/>
          <w:sz w:val="24"/>
          <w:szCs w:val="24"/>
          <w:highlight w:val="none"/>
          <w:lang w:val="en-US" w:eastAsia="zh-CN"/>
        </w:rPr>
        <w:t>中标</w:t>
      </w:r>
      <w:r>
        <w:rPr>
          <w:rFonts w:hint="eastAsia" w:ascii="仿宋" w:hAnsi="仿宋" w:eastAsia="仿宋" w:cs="仿宋"/>
          <w:snapToGrid w:val="0"/>
          <w:color w:val="auto"/>
          <w:spacing w:val="6"/>
          <w:kern w:val="0"/>
          <w:sz w:val="24"/>
          <w:szCs w:val="24"/>
          <w:highlight w:val="none"/>
        </w:rPr>
        <w:t>资格。</w:t>
      </w:r>
    </w:p>
    <w:p w14:paraId="6DBDF39F">
      <w:pPr>
        <w:spacing w:line="440" w:lineRule="exact"/>
        <w:ind w:left="0" w:leftChars="0" w:firstLine="761" w:firstLineChars="302"/>
        <w:rPr>
          <w:rFonts w:hint="eastAsia" w:ascii="仿宋" w:hAnsi="仿宋" w:eastAsia="仿宋" w:cs="仿宋"/>
          <w:snapToGrid w:val="0"/>
          <w:color w:val="auto"/>
          <w:spacing w:val="6"/>
          <w:kern w:val="0"/>
          <w:sz w:val="24"/>
          <w:szCs w:val="24"/>
          <w:highlight w:val="none"/>
        </w:rPr>
      </w:pPr>
    </w:p>
    <w:p w14:paraId="47A7C611">
      <w:pPr>
        <w:spacing w:line="440" w:lineRule="exact"/>
        <w:ind w:left="0" w:leftChars="0" w:firstLine="761" w:firstLineChars="302"/>
        <w:rPr>
          <w:rFonts w:hint="eastAsia" w:ascii="仿宋" w:hAnsi="仿宋" w:eastAsia="仿宋" w:cs="仿宋"/>
          <w:snapToGrid w:val="0"/>
          <w:color w:val="auto"/>
          <w:spacing w:val="6"/>
          <w:kern w:val="0"/>
          <w:sz w:val="24"/>
          <w:szCs w:val="24"/>
          <w:highlight w:val="none"/>
        </w:rPr>
      </w:pPr>
    </w:p>
    <w:p w14:paraId="3418CDB8">
      <w:pPr>
        <w:spacing w:line="440" w:lineRule="exact"/>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lang w:val="en-US" w:eastAsia="zh-CN"/>
        </w:rPr>
        <w:t>投标人</w:t>
      </w:r>
      <w:r>
        <w:rPr>
          <w:rFonts w:hint="eastAsia" w:ascii="仿宋" w:hAnsi="仿宋" w:eastAsia="仿宋" w:cs="仿宋"/>
          <w:color w:val="auto"/>
          <w:spacing w:val="6"/>
          <w:kern w:val="0"/>
          <w:sz w:val="24"/>
          <w:szCs w:val="24"/>
          <w:highlight w:val="none"/>
        </w:rPr>
        <w:t>（</w:t>
      </w:r>
      <w:r>
        <w:rPr>
          <w:rFonts w:hint="eastAsia" w:ascii="仿宋" w:hAnsi="仿宋" w:eastAsia="仿宋" w:cs="仿宋"/>
          <w:color w:val="auto"/>
          <w:spacing w:val="6"/>
          <w:kern w:val="0"/>
          <w:sz w:val="24"/>
          <w:szCs w:val="24"/>
          <w:highlight w:val="none"/>
          <w:lang w:val="en-US" w:eastAsia="zh-CN"/>
        </w:rPr>
        <w:t>盖单位公章</w:t>
      </w:r>
      <w:r>
        <w:rPr>
          <w:rFonts w:hint="eastAsia" w:ascii="仿宋" w:hAnsi="仿宋" w:eastAsia="仿宋" w:cs="仿宋"/>
          <w:color w:val="auto"/>
          <w:spacing w:val="6"/>
          <w:kern w:val="0"/>
          <w:sz w:val="24"/>
          <w:szCs w:val="24"/>
          <w:highlight w:val="none"/>
        </w:rPr>
        <w:t>）：</w:t>
      </w:r>
    </w:p>
    <w:p w14:paraId="72A95999">
      <w:pPr>
        <w:spacing w:line="440" w:lineRule="exact"/>
        <w:ind w:left="0" w:leftChars="0" w:firstLine="8230" w:firstLineChars="3266"/>
        <w:jc w:val="left"/>
        <w:rPr>
          <w:rFonts w:hint="eastAsia" w:ascii="仿宋" w:hAnsi="仿宋" w:eastAsia="仿宋" w:cs="仿宋"/>
          <w:color w:val="auto"/>
          <w:spacing w:val="6"/>
          <w:kern w:val="0"/>
          <w:sz w:val="24"/>
          <w:szCs w:val="24"/>
          <w:highlight w:val="none"/>
        </w:rPr>
      </w:pPr>
    </w:p>
    <w:p w14:paraId="70127F2D">
      <w:pPr>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法定代表人或授权代表（签字或盖章）：</w:t>
      </w:r>
    </w:p>
    <w:p w14:paraId="295DA3F7">
      <w:pPr>
        <w:jc w:val="left"/>
        <w:rPr>
          <w:rFonts w:hint="eastAsia" w:ascii="仿宋" w:hAnsi="仿宋" w:eastAsia="仿宋" w:cs="仿宋"/>
          <w:color w:val="auto"/>
          <w:spacing w:val="6"/>
          <w:kern w:val="0"/>
          <w:sz w:val="24"/>
          <w:szCs w:val="24"/>
          <w:highlight w:val="none"/>
        </w:rPr>
      </w:pPr>
    </w:p>
    <w:p w14:paraId="5D97251B">
      <w:pPr>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日期：   年   月   日</w:t>
      </w:r>
    </w:p>
    <w:p w14:paraId="5DE0D8B2">
      <w:pPr>
        <w:pStyle w:val="24"/>
        <w:rPr>
          <w:rFonts w:hint="eastAsia"/>
          <w:color w:val="auto"/>
          <w:highlight w:val="none"/>
          <w:lang w:eastAsia="zh-CN"/>
        </w:rPr>
      </w:pPr>
    </w:p>
    <w:p w14:paraId="7DDE1E87">
      <w:p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br w:type="page"/>
      </w:r>
    </w:p>
    <w:p w14:paraId="0057620D">
      <w:pPr>
        <w:jc w:val="center"/>
        <w:rPr>
          <w:rFonts w:hint="eastAsia" w:ascii="仿宋" w:hAnsi="仿宋" w:eastAsia="仿宋" w:cs="仿宋"/>
          <w:snapToGrid w:val="0"/>
          <w:color w:val="auto"/>
          <w:spacing w:val="6"/>
          <w:kern w:val="0"/>
          <w:sz w:val="32"/>
          <w:szCs w:val="32"/>
          <w:highlight w:val="none"/>
        </w:rPr>
      </w:pPr>
      <w:r>
        <w:rPr>
          <w:rFonts w:hint="eastAsia" w:ascii="仿宋" w:hAnsi="仿宋" w:eastAsia="仿宋" w:cs="仿宋"/>
          <w:snapToGrid w:val="0"/>
          <w:color w:val="auto"/>
          <w:spacing w:val="6"/>
          <w:kern w:val="0"/>
          <w:sz w:val="32"/>
          <w:szCs w:val="32"/>
          <w:highlight w:val="none"/>
        </w:rPr>
        <w:t>（</w:t>
      </w:r>
      <w:r>
        <w:rPr>
          <w:rFonts w:hint="eastAsia" w:ascii="仿宋" w:hAnsi="仿宋" w:eastAsia="仿宋" w:cs="仿宋"/>
          <w:snapToGrid w:val="0"/>
          <w:color w:val="auto"/>
          <w:spacing w:val="6"/>
          <w:kern w:val="0"/>
          <w:sz w:val="32"/>
          <w:szCs w:val="32"/>
          <w:highlight w:val="none"/>
          <w:lang w:eastAsia="zh-CN"/>
        </w:rPr>
        <w:t>二</w:t>
      </w:r>
      <w:r>
        <w:rPr>
          <w:rFonts w:hint="eastAsia" w:ascii="仿宋" w:hAnsi="仿宋" w:eastAsia="仿宋" w:cs="仿宋"/>
          <w:snapToGrid w:val="0"/>
          <w:color w:val="auto"/>
          <w:spacing w:val="6"/>
          <w:kern w:val="0"/>
          <w:sz w:val="32"/>
          <w:szCs w:val="32"/>
          <w:highlight w:val="none"/>
        </w:rPr>
        <w:t>）严禁转包、违法分包和挂靠等行为承诺书</w:t>
      </w:r>
    </w:p>
    <w:p w14:paraId="6FBB1DA3">
      <w:pPr>
        <w:spacing w:line="520" w:lineRule="exact"/>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致：</w:t>
      </w:r>
      <w:r>
        <w:rPr>
          <w:rFonts w:hint="eastAsia" w:ascii="仿宋" w:hAnsi="仿宋" w:eastAsia="仿宋" w:cs="仿宋"/>
          <w:color w:val="auto"/>
          <w:kern w:val="1"/>
          <w:sz w:val="24"/>
          <w:szCs w:val="24"/>
          <w:highlight w:val="none"/>
          <w:u w:val="single"/>
        </w:rPr>
        <w:t xml:space="preserve">     招标人     </w:t>
      </w:r>
      <w:r>
        <w:rPr>
          <w:rFonts w:hint="eastAsia" w:ascii="仿宋" w:hAnsi="仿宋" w:eastAsia="仿宋" w:cs="仿宋"/>
          <w:color w:val="auto"/>
          <w:kern w:val="1"/>
          <w:sz w:val="24"/>
          <w:szCs w:val="24"/>
          <w:highlight w:val="none"/>
        </w:rPr>
        <w:t>:</w:t>
      </w:r>
    </w:p>
    <w:p w14:paraId="212FC7A7">
      <w:pPr>
        <w:spacing w:line="520" w:lineRule="exact"/>
        <w:ind w:firstLine="480" w:firstLineChars="200"/>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我单位</w:t>
      </w:r>
      <w:r>
        <w:rPr>
          <w:rFonts w:hint="eastAsia"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rPr>
        <w:t>(单位名称)已仔细研究</w:t>
      </w:r>
      <w:r>
        <w:rPr>
          <w:rFonts w:hint="eastAsia"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rPr>
        <w:t>（项目名称）招标文件全部内容，符合招标文件相关要求，决定参与本项目投标，现郑重承诺如下:</w:t>
      </w:r>
    </w:p>
    <w:p w14:paraId="6DEAA0E2">
      <w:pPr>
        <w:spacing w:line="520" w:lineRule="exact"/>
        <w:ind w:firstLine="552"/>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一、我单位在投标过程中不存在围标、串标、借用、挂靠资质及弄虚作假等行为，中标后将严格遵守国家有关规定，按照招标文件和合同约定施工（提供货物或服务），禁止转包、违法分包等违法行为。</w:t>
      </w:r>
    </w:p>
    <w:p w14:paraId="54F1B00C">
      <w:pPr>
        <w:spacing w:line="520" w:lineRule="exact"/>
        <w:ind w:firstLine="552"/>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二、我单位在工程施工（提供货物或服务）过程中严格遵守国家有关规定，与所雇佣劳务人员签署劳务合同并支付劳务费用，并采取必要的措施，保证不拖欠农民工工资。</w:t>
      </w:r>
    </w:p>
    <w:p w14:paraId="6D143B99">
      <w:pPr>
        <w:spacing w:line="520" w:lineRule="exact"/>
        <w:ind w:firstLine="552"/>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三、我单位承诺：接受招标人委托的造价咨询单位的结算审核结果，如招标人上级公司评审后对造价咨询单位的审核结果有调整的，以调整后的结果为准。若政府审计部门对本项目开展审计监督，则以政府审计结果作为双方最终结算依据，我单位有义务配合审计部门并积极退回多收取的工程价款。</w:t>
      </w:r>
    </w:p>
    <w:p w14:paraId="0C61C93B">
      <w:pPr>
        <w:spacing w:line="520" w:lineRule="exact"/>
        <w:ind w:firstLine="480" w:firstLineChars="200"/>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若出现违反本承诺书行为，同意招标人从工程款中扣除相应款项，直接支付所欠劳务费用，不足部分由我单位无条件补足。同时招标人有权终止合同，由此引起的责任及相关费用均由我单位承担。</w:t>
      </w:r>
    </w:p>
    <w:p w14:paraId="1E5A0A87">
      <w:pPr>
        <w:spacing w:line="520" w:lineRule="exact"/>
        <w:ind w:firstLine="480" w:firstLineChars="200"/>
        <w:rPr>
          <w:rFonts w:hint="eastAsia" w:ascii="仿宋" w:hAnsi="仿宋" w:eastAsia="仿宋" w:cs="仿宋"/>
          <w:color w:val="auto"/>
          <w:kern w:val="1"/>
          <w:sz w:val="24"/>
          <w:szCs w:val="24"/>
          <w:highlight w:val="none"/>
        </w:rPr>
      </w:pPr>
    </w:p>
    <w:p w14:paraId="3A401287">
      <w:pPr>
        <w:spacing w:line="520" w:lineRule="exact"/>
        <w:ind w:firstLine="480" w:firstLineChars="200"/>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承诺人:</w:t>
      </w:r>
    </w:p>
    <w:p w14:paraId="37EB222F">
      <w:pPr>
        <w:spacing w:line="520" w:lineRule="exact"/>
        <w:ind w:firstLine="480" w:firstLineChars="200"/>
        <w:rPr>
          <w:rFonts w:hint="eastAsia" w:ascii="仿宋" w:hAnsi="仿宋" w:eastAsia="仿宋" w:cs="仿宋"/>
          <w:color w:val="auto"/>
          <w:kern w:val="1"/>
          <w:sz w:val="24"/>
          <w:szCs w:val="24"/>
          <w:highlight w:val="none"/>
        </w:rPr>
      </w:pPr>
    </w:p>
    <w:p w14:paraId="06500787">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日  期:</w:t>
      </w:r>
    </w:p>
    <w:p w14:paraId="224E7B23">
      <w:pPr>
        <w:rPr>
          <w:rFonts w:hint="eastAsia" w:ascii="仿宋" w:hAnsi="仿宋" w:eastAsia="仿宋" w:cs="仿宋"/>
          <w:color w:val="auto"/>
          <w:sz w:val="24"/>
          <w:szCs w:val="24"/>
          <w:highlight w:val="none"/>
        </w:rPr>
      </w:pPr>
    </w:p>
    <w:p w14:paraId="64B1F8DB">
      <w:pPr>
        <w:jc w:val="left"/>
        <w:rPr>
          <w:rFonts w:hint="eastAsia" w:ascii="仿宋" w:hAnsi="仿宋" w:eastAsia="仿宋" w:cs="仿宋"/>
          <w:b w:val="0"/>
          <w:bCs w:val="0"/>
          <w:snapToGrid w:val="0"/>
          <w:color w:val="auto"/>
          <w:spacing w:val="6"/>
          <w:kern w:val="0"/>
          <w:sz w:val="24"/>
          <w:szCs w:val="24"/>
          <w:highlight w:val="none"/>
          <w:lang w:eastAsia="zh-CN"/>
        </w:rPr>
      </w:pPr>
      <w:r>
        <w:rPr>
          <w:rFonts w:hint="eastAsia" w:ascii="仿宋" w:hAnsi="仿宋" w:eastAsia="仿宋" w:cs="仿宋"/>
          <w:b w:val="0"/>
          <w:bCs w:val="0"/>
          <w:snapToGrid w:val="0"/>
          <w:color w:val="auto"/>
          <w:spacing w:val="6"/>
          <w:kern w:val="0"/>
          <w:sz w:val="24"/>
          <w:szCs w:val="24"/>
          <w:highlight w:val="none"/>
          <w:lang w:eastAsia="zh-CN"/>
        </w:rPr>
        <w:br w:type="page"/>
      </w:r>
    </w:p>
    <w:p w14:paraId="2AD534C3">
      <w:pPr>
        <w:jc w:val="center"/>
        <w:rPr>
          <w:rFonts w:hint="eastAsia" w:ascii="仿宋" w:hAnsi="仿宋" w:eastAsia="仿宋" w:cs="仿宋"/>
          <w:b w:val="0"/>
          <w:bCs w:val="0"/>
          <w:snapToGrid w:val="0"/>
          <w:color w:val="auto"/>
          <w:spacing w:val="6"/>
          <w:kern w:val="0"/>
          <w:sz w:val="32"/>
          <w:szCs w:val="32"/>
          <w:highlight w:val="none"/>
          <w:lang w:eastAsia="zh-CN"/>
        </w:rPr>
      </w:pPr>
      <w:r>
        <w:rPr>
          <w:rFonts w:hint="eastAsia" w:ascii="仿宋" w:hAnsi="仿宋" w:eastAsia="仿宋" w:cs="仿宋"/>
          <w:b w:val="0"/>
          <w:bCs w:val="0"/>
          <w:snapToGrid w:val="0"/>
          <w:color w:val="auto"/>
          <w:spacing w:val="6"/>
          <w:kern w:val="0"/>
          <w:sz w:val="32"/>
          <w:szCs w:val="32"/>
          <w:highlight w:val="none"/>
          <w:lang w:eastAsia="zh-CN"/>
        </w:rPr>
        <w:t>（</w:t>
      </w:r>
      <w:r>
        <w:rPr>
          <w:rFonts w:hint="eastAsia" w:ascii="仿宋" w:hAnsi="仿宋" w:eastAsia="仿宋" w:cs="仿宋"/>
          <w:b w:val="0"/>
          <w:bCs w:val="0"/>
          <w:snapToGrid w:val="0"/>
          <w:color w:val="auto"/>
          <w:spacing w:val="6"/>
          <w:kern w:val="0"/>
          <w:sz w:val="32"/>
          <w:szCs w:val="32"/>
          <w:highlight w:val="none"/>
          <w:lang w:val="en-US" w:eastAsia="zh-CN"/>
        </w:rPr>
        <w:t>三</w:t>
      </w:r>
      <w:r>
        <w:rPr>
          <w:rFonts w:hint="eastAsia" w:ascii="仿宋" w:hAnsi="仿宋" w:eastAsia="仿宋" w:cs="仿宋"/>
          <w:b w:val="0"/>
          <w:bCs w:val="0"/>
          <w:snapToGrid w:val="0"/>
          <w:color w:val="auto"/>
          <w:spacing w:val="6"/>
          <w:kern w:val="0"/>
          <w:sz w:val="32"/>
          <w:szCs w:val="32"/>
          <w:highlight w:val="none"/>
          <w:lang w:eastAsia="zh-CN"/>
        </w:rPr>
        <w:t>）投标人认为应递交的其他资料。</w:t>
      </w:r>
    </w:p>
    <w:p w14:paraId="5B45D1C4">
      <w:pPr>
        <w:jc w:val="center"/>
        <w:rPr>
          <w:rFonts w:hint="eastAsia" w:ascii="仿宋" w:hAnsi="仿宋" w:eastAsia="仿宋" w:cs="仿宋"/>
          <w:color w:val="auto"/>
          <w:highlight w:val="none"/>
        </w:rPr>
      </w:pPr>
      <w:r>
        <w:rPr>
          <w:rFonts w:hint="eastAsia" w:ascii="Times New Roman" w:hAnsi="Times New Roman" w:eastAsia="宋体" w:cs="Times New Roman"/>
          <w:color w:val="auto"/>
          <w:highlight w:val="none"/>
        </w:rPr>
        <w:br w:type="page"/>
      </w:r>
      <w:bookmarkStart w:id="654" w:name="_Toc38209208"/>
      <w:r>
        <w:rPr>
          <w:rFonts w:hint="eastAsia" w:ascii="仿宋" w:hAnsi="仿宋" w:eastAsia="仿宋" w:cs="仿宋"/>
          <w:color w:val="auto"/>
          <w:sz w:val="28"/>
          <w:szCs w:val="28"/>
          <w:highlight w:val="none"/>
        </w:rPr>
        <w:t>部分招标投标法律法规知识宣传</w:t>
      </w:r>
      <w:bookmarkEnd w:id="654"/>
    </w:p>
    <w:p w14:paraId="41478259">
      <w:pPr>
        <w:widowControl/>
        <w:spacing w:line="440" w:lineRule="exact"/>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一、《中华人民共和国招标投标法实施条例》节选</w:t>
      </w:r>
    </w:p>
    <w:p w14:paraId="0BA89DEE">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第六十七条规定，</w:t>
      </w:r>
      <w:r>
        <w:rPr>
          <w:rFonts w:hint="eastAsia" w:ascii="仿宋" w:hAnsi="仿宋" w:eastAsia="仿宋" w:cs="仿宋"/>
          <w:color w:val="auto"/>
          <w:kern w:val="0"/>
          <w:szCs w:val="21"/>
          <w:highlight w:val="none"/>
        </w:rPr>
        <w:t>投标人相互串通投标或者与招标人串通投标的，投标人向招标人或者评标委员会成员行贿谋取中标的，中标无效；构成犯罪的，依法追究刑事责任。</w:t>
      </w:r>
    </w:p>
    <w:p w14:paraId="5C6DFE73">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投标人：（一）以行贿谋取中标；（二）3年内2次以上串通投标；（三）串通投标行为损害招标人、其他投标人或者国家、集体、公民的合法利益，造成直接经济损失30万元以上；（四）其他串通投标情节严重的行为。凡有以上行为之一的，属于情节严重行为，由有关行政监督部门取消其1年至2年内参加依法必须进行招标的项目的投标资格。投标人自以上行为规定的处罚执行期限届满之日起3年内又有以上所列违法行为之一的，或者串通投标、以行贿谋取中标情节特别严重的，由工商行政管理机关吊销营业执照。</w:t>
      </w:r>
    </w:p>
    <w:p w14:paraId="0C5CF9DC">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第六十八条规定，</w:t>
      </w:r>
      <w:r>
        <w:rPr>
          <w:rFonts w:hint="eastAsia" w:ascii="仿宋" w:hAnsi="仿宋" w:eastAsia="仿宋" w:cs="仿宋"/>
          <w:color w:val="auto"/>
          <w:kern w:val="0"/>
          <w:szCs w:val="21"/>
          <w:highlight w:val="none"/>
        </w:rPr>
        <w:t xml:space="preserve">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 </w:t>
      </w:r>
    </w:p>
    <w:p w14:paraId="1F29A105">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人：（一）伪造、变造资格、资质证书或者其他许可证件骗取中标；（二）3年内2次以上使用他人名义投标；（三）弄虚作假骗取中标给招标人造成直接经济损失30万元以上；（四）其他弄虚作假骗取中标情节严重的行为。凡有以上行为之一的，属于招标投标法第五十四条规定的情节严重行为，由有关行政监督部门取消其1年至3年内参加依法必须进行招标的项目的投标资格。投标人自以上行为规定的处罚执行期限届满之日起3年内又有该款所列违法行为之一的，或者弄虚作假骗取中标情节特别严重的，由工商行政管理机关吊销营业执照。</w:t>
      </w:r>
    </w:p>
    <w:p w14:paraId="638D5DAA">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第六十九条规定</w:t>
      </w:r>
      <w:r>
        <w:rPr>
          <w:rFonts w:hint="eastAsia" w:ascii="仿宋" w:hAnsi="仿宋" w:eastAsia="仿宋" w:cs="仿宋"/>
          <w:color w:val="auto"/>
          <w:kern w:val="0"/>
          <w:szCs w:val="21"/>
          <w:highlight w:val="none"/>
        </w:rPr>
        <w:t>：出让或者出租资格、资质证书供他人投标的，依照法律、行政法规的规定给予行政处罚；构成犯罪的，依法追究刑事责任。</w:t>
      </w:r>
    </w:p>
    <w:p w14:paraId="57E6D5EC">
      <w:pPr>
        <w:widowControl/>
        <w:spacing w:line="440" w:lineRule="exact"/>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二、《中华人民共和国刑法》有关招投标处罚规定</w:t>
      </w:r>
    </w:p>
    <w:p w14:paraId="3C7CF81D">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第二百二十三条规定，</w:t>
      </w:r>
      <w:r>
        <w:rPr>
          <w:rFonts w:hint="eastAsia" w:ascii="仿宋" w:hAnsi="仿宋" w:eastAsia="仿宋" w:cs="仿宋"/>
          <w:color w:val="auto"/>
          <w:kern w:val="0"/>
          <w:szCs w:val="21"/>
          <w:highlight w:val="none"/>
        </w:rPr>
        <w:t>〔串通投标罪〕投标人相互串通投标报价，损害招标人或者其他投标人利益，情节严重的，处三年以下有期徒刑或者拘役，并处或者单处罚金。投标人与招标人串通投标，损害国家、集体、公民的合法利益的，依照前款的规定处罚。</w:t>
      </w:r>
    </w:p>
    <w:p w14:paraId="160359C8">
      <w:pPr>
        <w:widowControl/>
        <w:spacing w:line="440" w:lineRule="exact"/>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三、《最高人民检察院公安部关于经济犯罪案件追诉标准的规定》涉及招投标处理事项</w:t>
      </w:r>
    </w:p>
    <w:p w14:paraId="08860FB9">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第六十八条规定，</w:t>
      </w:r>
      <w:r>
        <w:rPr>
          <w:rFonts w:hint="eastAsia" w:ascii="仿宋" w:hAnsi="仿宋" w:eastAsia="仿宋" w:cs="仿宋"/>
          <w:color w:val="auto"/>
          <w:kern w:val="0"/>
          <w:szCs w:val="21"/>
          <w:highlight w:val="none"/>
        </w:rPr>
        <w:t xml:space="preserve">投标人相互串通投标报价，或者投标人与招标人串通投标，涉嫌下列情形之一的，应予追诉： </w:t>
      </w:r>
    </w:p>
    <w:p w14:paraId="49914F56">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1、损害招标人、投标人或者国家、集体、公民的合法利益，造成的直接经济损失数额在五十万元以上的； </w:t>
      </w:r>
    </w:p>
    <w:p w14:paraId="1DF1D9D5">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2、对其他投标人、招标人等投标招标活动的参加人采取威胁、欺骗等非法手段的； </w:t>
      </w:r>
    </w:p>
    <w:p w14:paraId="69CA8D61">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3、虽未达到上述数额标准，但因串通投标，受过行政处罚二次以上，又串通投标的。 </w:t>
      </w:r>
    </w:p>
    <w:p w14:paraId="5E4C5004">
      <w:pPr>
        <w:widowControl/>
        <w:spacing w:line="440" w:lineRule="exact"/>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四、《中华人民共和国审计法实施条例》涉及招投标事项</w:t>
      </w:r>
    </w:p>
    <w:p w14:paraId="7B5EA538">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第二十条规定，</w:t>
      </w:r>
      <w:r>
        <w:rPr>
          <w:rFonts w:hint="eastAsia" w:ascii="仿宋" w:hAnsi="仿宋" w:eastAsia="仿宋" w:cs="仿宋"/>
          <w:color w:val="auto"/>
          <w:kern w:val="0"/>
          <w:szCs w:val="21"/>
          <w:highlight w:val="none"/>
        </w:rPr>
        <w:t>政府投资和以政府投资为主的建设项目，审计机关依法进行审计监督。</w:t>
      </w:r>
    </w:p>
    <w:p w14:paraId="7B6CACF4">
      <w:pPr>
        <w:widowControl/>
        <w:spacing w:line="440" w:lineRule="exact"/>
        <w:ind w:firstLine="422" w:firstLineChars="200"/>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第四十条规定，</w:t>
      </w:r>
      <w:r>
        <w:rPr>
          <w:rFonts w:hint="eastAsia" w:ascii="仿宋" w:hAnsi="仿宋" w:eastAsia="仿宋" w:cs="仿宋"/>
          <w:color w:val="auto"/>
          <w:kern w:val="0"/>
          <w:szCs w:val="21"/>
          <w:highlight w:val="none"/>
        </w:rPr>
        <w:t>对依法应当追究有关人员责任的，向有关主管机关、单位提出给予处分的建议；对依法应当由有关主管机关处理、处罚的，移送有关主管机关；涉嫌犯罪的，移送司法机关。</w:t>
      </w:r>
    </w:p>
    <w:p w14:paraId="5F9CF18B">
      <w:pPr>
        <w:widowControl/>
        <w:spacing w:line="440" w:lineRule="exact"/>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五、全国“扫黑除恶”专项斗争涉及招投标工作</w:t>
      </w:r>
    </w:p>
    <w:p w14:paraId="5563D882">
      <w:pPr>
        <w:widowControl/>
        <w:spacing w:line="440" w:lineRule="exact"/>
        <w:ind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据中共中央、国务院《关于开展扫黑除恶专项斗争的通知》精神，扫黑除恶专项斗争打击的重点包括在建筑工程行业强揽工程、恶意竞标的黑恶势力。对有组织地恶意围标串标、强揽工程项目、强行推荐设计、施工、监理队伍、强行肢解分包工程的，招投标等行政监督部门需将问题线索提交市扫黑除恶专项斗争办公室进行查处。</w:t>
      </w:r>
    </w:p>
    <w:p w14:paraId="16A3A393">
      <w:pPr>
        <w:pStyle w:val="22"/>
        <w:adjustRightInd w:val="0"/>
        <w:snapToGrid w:val="0"/>
        <w:spacing w:line="360" w:lineRule="auto"/>
        <w:contextualSpacing/>
        <w:jc w:val="center"/>
        <w:rPr>
          <w:rFonts w:hint="eastAsia" w:ascii="仿宋" w:hAnsi="仿宋" w:eastAsia="仿宋" w:cs="仿宋"/>
          <w:b/>
          <w:color w:val="auto"/>
          <w:sz w:val="36"/>
          <w:szCs w:val="36"/>
          <w:highlight w:val="none"/>
        </w:rPr>
      </w:pPr>
    </w:p>
    <w:p w14:paraId="546F2524">
      <w:pPr>
        <w:pStyle w:val="22"/>
        <w:adjustRightInd w:val="0"/>
        <w:snapToGrid w:val="0"/>
        <w:spacing w:line="360" w:lineRule="auto"/>
        <w:contextualSpacing/>
        <w:jc w:val="center"/>
        <w:rPr>
          <w:rFonts w:hint="eastAsia" w:ascii="仿宋" w:hAnsi="仿宋" w:eastAsia="仿宋" w:cs="仿宋"/>
          <w:b/>
          <w:color w:val="auto"/>
          <w:sz w:val="36"/>
          <w:szCs w:val="36"/>
          <w:highlight w:val="none"/>
        </w:rPr>
      </w:pPr>
    </w:p>
    <w:p w14:paraId="2EC6C23B">
      <w:pPr>
        <w:pStyle w:val="22"/>
        <w:adjustRightInd w:val="0"/>
        <w:snapToGrid w:val="0"/>
        <w:spacing w:line="360" w:lineRule="auto"/>
        <w:contextualSpacing/>
        <w:jc w:val="center"/>
        <w:rPr>
          <w:rFonts w:hint="eastAsia" w:ascii="仿宋" w:hAnsi="仿宋" w:eastAsia="仿宋" w:cs="仿宋"/>
          <w:b/>
          <w:color w:val="auto"/>
          <w:sz w:val="36"/>
          <w:szCs w:val="36"/>
          <w:highlight w:val="none"/>
        </w:rPr>
      </w:pPr>
    </w:p>
    <w:p w14:paraId="4B59E472">
      <w:pPr>
        <w:pStyle w:val="22"/>
        <w:adjustRightInd w:val="0"/>
        <w:snapToGrid w:val="0"/>
        <w:spacing w:line="360" w:lineRule="auto"/>
        <w:contextualSpacing/>
        <w:rPr>
          <w:rFonts w:hint="eastAsia" w:ascii="仿宋" w:hAnsi="仿宋" w:eastAsia="仿宋" w:cs="仿宋"/>
          <w:color w:val="auto"/>
          <w:sz w:val="21"/>
          <w:szCs w:val="21"/>
          <w:highlight w:val="none"/>
        </w:rPr>
      </w:pPr>
    </w:p>
    <w:p w14:paraId="56C3503F">
      <w:pPr>
        <w:rPr>
          <w:color w:val="auto"/>
          <w:highlight w:val="none"/>
        </w:rPr>
      </w:pPr>
    </w:p>
    <w:sectPr>
      <w:pgSz w:w="11906" w:h="16838"/>
      <w:pgMar w:top="1440" w:right="1587" w:bottom="1440"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FDFF3">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9BCE">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6D663">
    <w:pPr>
      <w:pStyle w:val="15"/>
      <w:rPr>
        <w:rFonts w:ascii="Times New Roman" w:hAnsi="Times New Roman" w:eastAsia="宋体"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AB8A9">
    <w:pPr>
      <w:widowControl w:val="0"/>
      <w:tabs>
        <w:tab w:val="center" w:pos="4153"/>
        <w:tab w:val="right" w:pos="8306"/>
      </w:tabs>
      <w:snapToGrid w:val="0"/>
      <w:spacing w:line="360" w:lineRule="auto"/>
      <w:ind w:firstLine="360" w:firstLineChars="200"/>
      <w:rPr>
        <w:rFonts w:ascii="宋体" w:hAnsi="宋体" w:eastAsia="宋体" w:cs="Times New Roman"/>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AE4E0">
                          <w:pPr>
                            <w:pStyle w:val="1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50AE4E0">
                    <w:pPr>
                      <w:pStyle w:val="1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9172">
    <w:pPr>
      <w:pStyle w:val="15"/>
      <w:jc w:val="center"/>
      <w:rPr>
        <w:rFonts w:ascii="Times New Roman" w:hAnsi="Times New Roman" w:eastAsia="宋体"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AF87">
                          <w:pPr>
                            <w:pStyle w:val="1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C3AF87">
                    <w:pPr>
                      <w:pStyle w:val="1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A5AD801">
      <w:pPr>
        <w:pStyle w:val="18"/>
        <w:rPr>
          <w:rFonts w:hint="eastAsia" w:ascii="仿宋" w:hAnsi="仿宋" w:eastAsia="仿宋" w:cs="仿宋"/>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10B04">
    <w:pPr>
      <w:pStyle w:val="16"/>
      <w:jc w:val="both"/>
      <w:rPr>
        <w:rFonts w:ascii="Times New Roman" w:hAnsi="Times New Roman" w:eastAsia="宋体" w:cs="Times New Roman"/>
      </w:rPr>
    </w:pPr>
    <w:r>
      <w:rPr>
        <w:rFonts w:hint="eastAsia" w:ascii="楷体" w:hAnsi="楷体" w:eastAsia="楷体" w:cs="Times New Roman"/>
        <w:color w:val="595959"/>
        <w:sz w:val="21"/>
      </w:rPr>
      <w:t>公开 公平 公正 诚信                               东虹建设工程招标代理</w:t>
    </w:r>
    <w:r>
      <w:rPr>
        <w:rFonts w:ascii="楷体" w:hAnsi="楷体" w:eastAsia="楷体" w:cs="Times New Roman"/>
        <w:color w:val="595959"/>
        <w:sz w:val="21"/>
      </w:rPr>
      <w:t>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98C50">
    <w:pPr>
      <w:pStyle w:val="16"/>
      <w:pBdr>
        <w:bottom w:val="none" w:color="auto" w:sz="0" w:space="0"/>
      </w:pBdr>
      <w:rPr>
        <w:rFonts w:ascii="Times New Roman" w:hAnsi="Times New Roman" w:eastAsia="宋体"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3C7A2">
    <w:pPr>
      <w:pStyle w:val="16"/>
      <w:jc w:val="both"/>
      <w:rPr>
        <w:rFonts w:ascii="Times New Roman" w:hAnsi="Times New Roman" w:eastAsia="宋体" w:cs="Times New Roman"/>
      </w:rPr>
    </w:pPr>
    <w:r>
      <w:rPr>
        <w:rFonts w:hint="eastAsia" w:ascii="楷体" w:hAnsi="楷体" w:eastAsia="楷体" w:cs="Times New Roman"/>
        <w:color w:val="595959"/>
        <w:sz w:val="21"/>
      </w:rPr>
      <w:t>公开 公平 公正 诚信                               东虹建设工程招标代理</w:t>
    </w:r>
    <w:r>
      <w:rPr>
        <w:rFonts w:ascii="楷体" w:hAnsi="楷体" w:eastAsia="楷体" w:cs="Times New Roman"/>
        <w:color w:val="595959"/>
        <w:sz w:val="21"/>
      </w:rPr>
      <w:t>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49A60">
    <w:pPr>
      <w:pStyle w:val="16"/>
      <w:pBdr>
        <w:bottom w:val="none" w:color="auto" w:sz="0" w:space="0"/>
      </w:pBdr>
      <w:rPr>
        <w:rFonts w:ascii="Times New Roman" w:hAnsi="Times New Roman" w:eastAsia="宋体"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6D685">
    <w:pPr>
      <w:widowControl w:val="0"/>
      <w:pBdr>
        <w:bottom w:val="single" w:color="auto" w:sz="6" w:space="1"/>
      </w:pBdr>
      <w:tabs>
        <w:tab w:val="center" w:pos="4153"/>
        <w:tab w:val="right" w:pos="8306"/>
      </w:tabs>
      <w:snapToGrid w:val="0"/>
      <w:spacing w:line="360" w:lineRule="auto"/>
      <w:ind w:firstLine="360" w:firstLineChars="200"/>
      <w:jc w:val="center"/>
      <w:rPr>
        <w:rFonts w:ascii="宋体" w:hAnsi="宋体" w:eastAsia="宋体" w:cs="Times New Roman"/>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08897">
    <w:pPr>
      <w:pStyle w:val="16"/>
      <w:jc w:val="both"/>
      <w:rPr>
        <w:rFonts w:ascii="Times New Roman" w:hAnsi="Times New Roman" w:eastAsia="宋体" w:cs="Times New Roman"/>
      </w:rPr>
    </w:pPr>
    <w:r>
      <w:rPr>
        <w:rFonts w:hint="eastAsia" w:ascii="楷体" w:hAnsi="楷体" w:eastAsia="楷体" w:cs="Times New Roman"/>
        <w:color w:val="595959"/>
        <w:sz w:val="21"/>
      </w:rPr>
      <w:t>公开 公平 公正 诚信                                   东虹建设工程招标代理</w:t>
    </w:r>
    <w:r>
      <w:rPr>
        <w:rFonts w:ascii="楷体" w:hAnsi="楷体" w:eastAsia="楷体" w:cs="Times New Roman"/>
        <w:color w:val="595959"/>
        <w:sz w:val="21"/>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BE54E5"/>
    <w:multiLevelType w:val="singleLevel"/>
    <w:tmpl w:val="B2BE54E5"/>
    <w:lvl w:ilvl="0" w:tentative="0">
      <w:start w:val="10"/>
      <w:numFmt w:val="chineseCounting"/>
      <w:suff w:val="nothing"/>
      <w:lvlText w:val="%1、"/>
      <w:lvlJc w:val="left"/>
      <w:rPr>
        <w:rFonts w:hint="eastAsia"/>
      </w:rPr>
    </w:lvl>
  </w:abstractNum>
  <w:abstractNum w:abstractNumId="1">
    <w:nsid w:val="50638D30"/>
    <w:multiLevelType w:val="singleLevel"/>
    <w:tmpl w:val="50638D30"/>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3D66E7"/>
    <w:rsid w:val="000C417D"/>
    <w:rsid w:val="00496DA9"/>
    <w:rsid w:val="012E0108"/>
    <w:rsid w:val="01317C59"/>
    <w:rsid w:val="01BF5783"/>
    <w:rsid w:val="01CE3C6C"/>
    <w:rsid w:val="02443AC4"/>
    <w:rsid w:val="025E3202"/>
    <w:rsid w:val="02782679"/>
    <w:rsid w:val="02BE582C"/>
    <w:rsid w:val="02BF556A"/>
    <w:rsid w:val="03EF1A15"/>
    <w:rsid w:val="04197E74"/>
    <w:rsid w:val="042E253E"/>
    <w:rsid w:val="04620439"/>
    <w:rsid w:val="04AB0032"/>
    <w:rsid w:val="05B80C59"/>
    <w:rsid w:val="06C76C7A"/>
    <w:rsid w:val="06E51F26"/>
    <w:rsid w:val="078237D8"/>
    <w:rsid w:val="07A85C55"/>
    <w:rsid w:val="07D50B39"/>
    <w:rsid w:val="07FF088C"/>
    <w:rsid w:val="086126E7"/>
    <w:rsid w:val="08955281"/>
    <w:rsid w:val="08EE04EE"/>
    <w:rsid w:val="09A01D59"/>
    <w:rsid w:val="09D5345C"/>
    <w:rsid w:val="0A2166A1"/>
    <w:rsid w:val="0A2D14EA"/>
    <w:rsid w:val="0A710136"/>
    <w:rsid w:val="0B251306"/>
    <w:rsid w:val="0B284AB9"/>
    <w:rsid w:val="0B4E6200"/>
    <w:rsid w:val="0BAE21B6"/>
    <w:rsid w:val="0BED2CDE"/>
    <w:rsid w:val="0C8A677F"/>
    <w:rsid w:val="0CD05B72"/>
    <w:rsid w:val="0CE642FD"/>
    <w:rsid w:val="0D6B65B1"/>
    <w:rsid w:val="0D7C07BE"/>
    <w:rsid w:val="0DDD4991"/>
    <w:rsid w:val="0E286250"/>
    <w:rsid w:val="0E813BB2"/>
    <w:rsid w:val="0E8F72C9"/>
    <w:rsid w:val="0EB96D5B"/>
    <w:rsid w:val="0EF11E12"/>
    <w:rsid w:val="0FCF6CCF"/>
    <w:rsid w:val="0FDA30C2"/>
    <w:rsid w:val="10190546"/>
    <w:rsid w:val="106D0AAA"/>
    <w:rsid w:val="10917E7A"/>
    <w:rsid w:val="10B045AC"/>
    <w:rsid w:val="10FF0207"/>
    <w:rsid w:val="1111121D"/>
    <w:rsid w:val="111D5318"/>
    <w:rsid w:val="11496C09"/>
    <w:rsid w:val="11D779A4"/>
    <w:rsid w:val="123F000C"/>
    <w:rsid w:val="124F7385"/>
    <w:rsid w:val="127545A5"/>
    <w:rsid w:val="127E28E2"/>
    <w:rsid w:val="1299596E"/>
    <w:rsid w:val="129F62F8"/>
    <w:rsid w:val="12A342AD"/>
    <w:rsid w:val="13FD1A5D"/>
    <w:rsid w:val="140B464A"/>
    <w:rsid w:val="142E65C5"/>
    <w:rsid w:val="14777F31"/>
    <w:rsid w:val="14A8622F"/>
    <w:rsid w:val="14C15298"/>
    <w:rsid w:val="14E54E9B"/>
    <w:rsid w:val="15681628"/>
    <w:rsid w:val="1620124D"/>
    <w:rsid w:val="169B0125"/>
    <w:rsid w:val="16F13F77"/>
    <w:rsid w:val="16F61F4D"/>
    <w:rsid w:val="17561277"/>
    <w:rsid w:val="17D116DE"/>
    <w:rsid w:val="17E579B0"/>
    <w:rsid w:val="18202B35"/>
    <w:rsid w:val="18BF0975"/>
    <w:rsid w:val="18CA01BD"/>
    <w:rsid w:val="1A366198"/>
    <w:rsid w:val="1C806786"/>
    <w:rsid w:val="1D01647D"/>
    <w:rsid w:val="1DCA0596"/>
    <w:rsid w:val="1DE008F5"/>
    <w:rsid w:val="1E0068A1"/>
    <w:rsid w:val="1E0D2D11"/>
    <w:rsid w:val="1EFB52BB"/>
    <w:rsid w:val="1F6E3CDF"/>
    <w:rsid w:val="1FC54F08"/>
    <w:rsid w:val="201B3E66"/>
    <w:rsid w:val="211D4409"/>
    <w:rsid w:val="21231896"/>
    <w:rsid w:val="21432525"/>
    <w:rsid w:val="21BE0B31"/>
    <w:rsid w:val="21E12E8E"/>
    <w:rsid w:val="222E4688"/>
    <w:rsid w:val="227A7C0F"/>
    <w:rsid w:val="23A25387"/>
    <w:rsid w:val="23A576C1"/>
    <w:rsid w:val="252E63EA"/>
    <w:rsid w:val="255D0A7D"/>
    <w:rsid w:val="25787665"/>
    <w:rsid w:val="25827C82"/>
    <w:rsid w:val="25D7051E"/>
    <w:rsid w:val="26321F0A"/>
    <w:rsid w:val="2670658E"/>
    <w:rsid w:val="270513CC"/>
    <w:rsid w:val="27BD73F5"/>
    <w:rsid w:val="27DD559A"/>
    <w:rsid w:val="27F76466"/>
    <w:rsid w:val="28133675"/>
    <w:rsid w:val="288C1527"/>
    <w:rsid w:val="290D24E8"/>
    <w:rsid w:val="292F257F"/>
    <w:rsid w:val="293A43BB"/>
    <w:rsid w:val="296A19BB"/>
    <w:rsid w:val="2A036DCC"/>
    <w:rsid w:val="2A0857AB"/>
    <w:rsid w:val="2A1132FB"/>
    <w:rsid w:val="2A9A4E22"/>
    <w:rsid w:val="2B3D66E7"/>
    <w:rsid w:val="2B634913"/>
    <w:rsid w:val="2B6D12EE"/>
    <w:rsid w:val="2B8E7632"/>
    <w:rsid w:val="2CC90987"/>
    <w:rsid w:val="2CF33A75"/>
    <w:rsid w:val="2E1F2D74"/>
    <w:rsid w:val="2E271C28"/>
    <w:rsid w:val="2E5D2B20"/>
    <w:rsid w:val="2E931B6D"/>
    <w:rsid w:val="2EAE5EA6"/>
    <w:rsid w:val="2F6C62F6"/>
    <w:rsid w:val="2FEA5603"/>
    <w:rsid w:val="2FFD5337"/>
    <w:rsid w:val="307771A5"/>
    <w:rsid w:val="30854A7E"/>
    <w:rsid w:val="30A13F14"/>
    <w:rsid w:val="30B86D5A"/>
    <w:rsid w:val="31A67308"/>
    <w:rsid w:val="31BE28A4"/>
    <w:rsid w:val="31F41134"/>
    <w:rsid w:val="32C35278"/>
    <w:rsid w:val="333A0650"/>
    <w:rsid w:val="33955886"/>
    <w:rsid w:val="33A61841"/>
    <w:rsid w:val="33C817B8"/>
    <w:rsid w:val="33D559F4"/>
    <w:rsid w:val="340768EE"/>
    <w:rsid w:val="3417273F"/>
    <w:rsid w:val="34AB11F7"/>
    <w:rsid w:val="350902DA"/>
    <w:rsid w:val="355F145B"/>
    <w:rsid w:val="35871E5F"/>
    <w:rsid w:val="36BC4970"/>
    <w:rsid w:val="37D37B03"/>
    <w:rsid w:val="37E36FA9"/>
    <w:rsid w:val="37FB5357"/>
    <w:rsid w:val="38042FDA"/>
    <w:rsid w:val="380D00E1"/>
    <w:rsid w:val="38A00F55"/>
    <w:rsid w:val="38A81BB8"/>
    <w:rsid w:val="38D363BF"/>
    <w:rsid w:val="39D013C6"/>
    <w:rsid w:val="3A325B37"/>
    <w:rsid w:val="3AAB7DDB"/>
    <w:rsid w:val="3B3F7322"/>
    <w:rsid w:val="3B464036"/>
    <w:rsid w:val="3B651FE2"/>
    <w:rsid w:val="3B7177DB"/>
    <w:rsid w:val="3BE949C1"/>
    <w:rsid w:val="3BEF6A03"/>
    <w:rsid w:val="3C5502A8"/>
    <w:rsid w:val="3C7B6538"/>
    <w:rsid w:val="3CF5550F"/>
    <w:rsid w:val="3DCE3E6E"/>
    <w:rsid w:val="3E047890"/>
    <w:rsid w:val="3E107EE1"/>
    <w:rsid w:val="3EC3599D"/>
    <w:rsid w:val="3F051B12"/>
    <w:rsid w:val="3F3348D1"/>
    <w:rsid w:val="3F6C51E0"/>
    <w:rsid w:val="401C35B7"/>
    <w:rsid w:val="4065700E"/>
    <w:rsid w:val="4133132B"/>
    <w:rsid w:val="41B4616B"/>
    <w:rsid w:val="4246778E"/>
    <w:rsid w:val="42521512"/>
    <w:rsid w:val="42BF46CD"/>
    <w:rsid w:val="42C85831"/>
    <w:rsid w:val="42DA37D7"/>
    <w:rsid w:val="43260FFD"/>
    <w:rsid w:val="43BA373D"/>
    <w:rsid w:val="448D0EC5"/>
    <w:rsid w:val="44F71EFD"/>
    <w:rsid w:val="4525273F"/>
    <w:rsid w:val="45875FBD"/>
    <w:rsid w:val="462C5BD6"/>
    <w:rsid w:val="46654AEE"/>
    <w:rsid w:val="466E61EE"/>
    <w:rsid w:val="46CA7BB5"/>
    <w:rsid w:val="46EA5400"/>
    <w:rsid w:val="470B7EE1"/>
    <w:rsid w:val="47514196"/>
    <w:rsid w:val="47514991"/>
    <w:rsid w:val="475353E4"/>
    <w:rsid w:val="47855EE6"/>
    <w:rsid w:val="47A73950"/>
    <w:rsid w:val="47AB6FCE"/>
    <w:rsid w:val="47FE17F4"/>
    <w:rsid w:val="481F17E3"/>
    <w:rsid w:val="482C010F"/>
    <w:rsid w:val="48587156"/>
    <w:rsid w:val="486D0748"/>
    <w:rsid w:val="48F52BF7"/>
    <w:rsid w:val="4904053F"/>
    <w:rsid w:val="49680B14"/>
    <w:rsid w:val="49832EE9"/>
    <w:rsid w:val="49ED3015"/>
    <w:rsid w:val="4A361F5B"/>
    <w:rsid w:val="4A624B0A"/>
    <w:rsid w:val="4B4B6AFE"/>
    <w:rsid w:val="4B8F5DC2"/>
    <w:rsid w:val="4BAC3563"/>
    <w:rsid w:val="4C2A669F"/>
    <w:rsid w:val="4CA7245A"/>
    <w:rsid w:val="4D042A1C"/>
    <w:rsid w:val="4D64659D"/>
    <w:rsid w:val="4D9C4B77"/>
    <w:rsid w:val="4DF345B6"/>
    <w:rsid w:val="4E8E2B40"/>
    <w:rsid w:val="4EB26E94"/>
    <w:rsid w:val="4EE23C1E"/>
    <w:rsid w:val="4EEE4370"/>
    <w:rsid w:val="4F766114"/>
    <w:rsid w:val="4F836083"/>
    <w:rsid w:val="4F9F53EB"/>
    <w:rsid w:val="4F9F53EC"/>
    <w:rsid w:val="4FB8672C"/>
    <w:rsid w:val="4FE70DC0"/>
    <w:rsid w:val="50096F88"/>
    <w:rsid w:val="501716A5"/>
    <w:rsid w:val="505C24B2"/>
    <w:rsid w:val="516A5240"/>
    <w:rsid w:val="51A67184"/>
    <w:rsid w:val="51B7313F"/>
    <w:rsid w:val="52DD4E28"/>
    <w:rsid w:val="53105470"/>
    <w:rsid w:val="54D538DD"/>
    <w:rsid w:val="54FA3343"/>
    <w:rsid w:val="55597D98"/>
    <w:rsid w:val="55691A78"/>
    <w:rsid w:val="55C53951"/>
    <w:rsid w:val="55CE0827"/>
    <w:rsid w:val="563034C0"/>
    <w:rsid w:val="570C245E"/>
    <w:rsid w:val="572768C6"/>
    <w:rsid w:val="57646371"/>
    <w:rsid w:val="582A6756"/>
    <w:rsid w:val="58523BC2"/>
    <w:rsid w:val="58821368"/>
    <w:rsid w:val="588E4FF6"/>
    <w:rsid w:val="58DF11CE"/>
    <w:rsid w:val="5919023C"/>
    <w:rsid w:val="594F1802"/>
    <w:rsid w:val="594F3C5E"/>
    <w:rsid w:val="59C4289D"/>
    <w:rsid w:val="59E43129"/>
    <w:rsid w:val="5A162C08"/>
    <w:rsid w:val="5B4256B7"/>
    <w:rsid w:val="5B4B6CF4"/>
    <w:rsid w:val="5BA66C84"/>
    <w:rsid w:val="5BEA5EBF"/>
    <w:rsid w:val="5BEC3F37"/>
    <w:rsid w:val="5C834903"/>
    <w:rsid w:val="5CEA7F8B"/>
    <w:rsid w:val="5D092EDC"/>
    <w:rsid w:val="5D3E09B0"/>
    <w:rsid w:val="5D9A3915"/>
    <w:rsid w:val="5DAE0129"/>
    <w:rsid w:val="5DB05371"/>
    <w:rsid w:val="5E722A1B"/>
    <w:rsid w:val="5EC56770"/>
    <w:rsid w:val="5F16521D"/>
    <w:rsid w:val="5F6031D8"/>
    <w:rsid w:val="603040BD"/>
    <w:rsid w:val="610C4B2A"/>
    <w:rsid w:val="61103AC0"/>
    <w:rsid w:val="61460456"/>
    <w:rsid w:val="62B47227"/>
    <w:rsid w:val="63E27B04"/>
    <w:rsid w:val="640D6BEF"/>
    <w:rsid w:val="649641EC"/>
    <w:rsid w:val="6557369D"/>
    <w:rsid w:val="65C57872"/>
    <w:rsid w:val="65FA2A89"/>
    <w:rsid w:val="662326FA"/>
    <w:rsid w:val="66527018"/>
    <w:rsid w:val="67191D4F"/>
    <w:rsid w:val="6735499F"/>
    <w:rsid w:val="678F3DBF"/>
    <w:rsid w:val="67AF238B"/>
    <w:rsid w:val="67E660D5"/>
    <w:rsid w:val="68031524"/>
    <w:rsid w:val="688F0B88"/>
    <w:rsid w:val="693D7F76"/>
    <w:rsid w:val="69584DB0"/>
    <w:rsid w:val="69C73CE4"/>
    <w:rsid w:val="6AC83870"/>
    <w:rsid w:val="6B2C5CC5"/>
    <w:rsid w:val="6B301DBA"/>
    <w:rsid w:val="6B906857"/>
    <w:rsid w:val="6BD36970"/>
    <w:rsid w:val="6BEB55AC"/>
    <w:rsid w:val="6C207396"/>
    <w:rsid w:val="6C472EBA"/>
    <w:rsid w:val="6C53185F"/>
    <w:rsid w:val="6CAB297C"/>
    <w:rsid w:val="6CAF118B"/>
    <w:rsid w:val="6CEF3EAA"/>
    <w:rsid w:val="6D050DAB"/>
    <w:rsid w:val="6D104B3E"/>
    <w:rsid w:val="6DA34120"/>
    <w:rsid w:val="6FD44A65"/>
    <w:rsid w:val="70284D78"/>
    <w:rsid w:val="70495453"/>
    <w:rsid w:val="71A32E24"/>
    <w:rsid w:val="722173E5"/>
    <w:rsid w:val="7248230B"/>
    <w:rsid w:val="72B50B7E"/>
    <w:rsid w:val="73697BBA"/>
    <w:rsid w:val="73B946CA"/>
    <w:rsid w:val="73B9774C"/>
    <w:rsid w:val="74B24854"/>
    <w:rsid w:val="74D062C1"/>
    <w:rsid w:val="75877068"/>
    <w:rsid w:val="75B824B8"/>
    <w:rsid w:val="75EE3BA9"/>
    <w:rsid w:val="76820AEE"/>
    <w:rsid w:val="76DE441B"/>
    <w:rsid w:val="790E5E55"/>
    <w:rsid w:val="792027AF"/>
    <w:rsid w:val="793D367B"/>
    <w:rsid w:val="79BC6C95"/>
    <w:rsid w:val="79D308D0"/>
    <w:rsid w:val="7ABB4C43"/>
    <w:rsid w:val="7ACD758F"/>
    <w:rsid w:val="7AD57EFF"/>
    <w:rsid w:val="7B0E6635"/>
    <w:rsid w:val="7B1F7941"/>
    <w:rsid w:val="7B8051F7"/>
    <w:rsid w:val="7BED75DA"/>
    <w:rsid w:val="7C0A2D2A"/>
    <w:rsid w:val="7C0B5619"/>
    <w:rsid w:val="7C2B1EB0"/>
    <w:rsid w:val="7D20753B"/>
    <w:rsid w:val="7D9D3A60"/>
    <w:rsid w:val="7DDA2CEF"/>
    <w:rsid w:val="7F820039"/>
    <w:rsid w:val="7FA34F2A"/>
    <w:rsid w:val="7FBE4DEA"/>
    <w:rsid w:val="7FC3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qFormat/>
    <w:uiPriority w:val="0"/>
    <w:pPr>
      <w:keepNext/>
      <w:keepLines/>
      <w:widowControl w:val="0"/>
      <w:bidi w:val="0"/>
      <w:spacing w:before="50" w:beforeLines="50" w:after="10" w:line="360" w:lineRule="auto"/>
      <w:ind w:firstLine="0" w:firstLineChars="0"/>
      <w:jc w:val="left"/>
      <w:outlineLvl w:val="1"/>
    </w:pPr>
    <w:rPr>
      <w:rFonts w:ascii="Arial" w:hAnsi="Arial" w:eastAsia="仿宋" w:cs="Times New Roman"/>
      <w:b/>
      <w:bCs/>
      <w:kern w:val="2"/>
      <w:sz w:val="24"/>
      <w:szCs w:val="32"/>
      <w:lang w:val="en-US" w:eastAsia="zh-CN" w:bidi="ar-SA"/>
    </w:rPr>
  </w:style>
  <w:style w:type="paragraph" w:styleId="4">
    <w:name w:val="heading 3"/>
    <w:next w:val="1"/>
    <w:qFormat/>
    <w:uiPriority w:val="99"/>
    <w:pPr>
      <w:keepNext/>
      <w:keepLines/>
      <w:widowControl w:val="0"/>
      <w:spacing w:before="260" w:after="260" w:line="416" w:lineRule="auto"/>
      <w:jc w:val="both"/>
      <w:outlineLvl w:val="2"/>
    </w:pPr>
    <w:rPr>
      <w:rFonts w:ascii="Times New Roman" w:hAnsi="Times New Roman" w:eastAsia="宋体" w:cs="Times New Roman"/>
      <w:b/>
      <w:bCs/>
      <w:kern w:val="2"/>
      <w:sz w:val="32"/>
      <w:szCs w:val="32"/>
      <w:lang w:val="en-US" w:eastAsia="zh-CN" w:bidi="ar-SA"/>
    </w:rPr>
  </w:style>
  <w:style w:type="paragraph" w:styleId="5">
    <w:name w:val="heading 4"/>
    <w:basedOn w:val="1"/>
    <w:next w:val="1"/>
    <w:link w:val="58"/>
    <w:qFormat/>
    <w:uiPriority w:val="0"/>
    <w:pPr>
      <w:keepNext/>
      <w:keepLines/>
      <w:outlineLvl w:val="3"/>
    </w:pPr>
    <w:rPr>
      <w:rFonts w:ascii="Arial" w:hAnsi="Arial" w:eastAsia="仿宋"/>
      <w:b/>
      <w:bCs/>
      <w:sz w:val="28"/>
      <w:szCs w:val="28"/>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next w:val="7"/>
    <w:qFormat/>
    <w:uiPriority w:val="0"/>
    <w:pPr>
      <w:widowControl w:val="0"/>
      <w:ind w:firstLine="420"/>
      <w:jc w:val="both"/>
    </w:pPr>
    <w:rPr>
      <w:rFonts w:ascii="Times New Roman" w:hAnsi="Times New Roman" w:eastAsia="仿宋_GB2312" w:cs="Times New Roman"/>
      <w:kern w:val="2"/>
      <w:sz w:val="30"/>
      <w:szCs w:val="30"/>
      <w:lang w:val="en-US" w:eastAsia="zh-CN" w:bidi="ar-SA"/>
    </w:rPr>
  </w:style>
  <w:style w:type="paragraph" w:styleId="7">
    <w:name w:val="Body Text 2"/>
    <w:next w:val="8"/>
    <w:qFormat/>
    <w:uiPriority w:val="0"/>
    <w:pPr>
      <w:widowControl w:val="0"/>
      <w:spacing w:line="900" w:lineRule="exact"/>
      <w:jc w:val="center"/>
    </w:pPr>
    <w:rPr>
      <w:rFonts w:ascii="Times New Roman" w:hAnsi="Times New Roman" w:eastAsia="楷体_GB2312" w:cs="Times New Roman"/>
      <w:b/>
      <w:kern w:val="2"/>
      <w:sz w:val="36"/>
      <w:szCs w:val="24"/>
      <w:lang w:val="en-US" w:eastAsia="zh-CN" w:bidi="ar-SA"/>
    </w:rPr>
  </w:style>
  <w:style w:type="paragraph" w:styleId="8">
    <w:name w:val="Body Text"/>
    <w:basedOn w:val="1"/>
    <w:next w:val="9"/>
    <w:qFormat/>
    <w:uiPriority w:val="0"/>
    <w:pPr>
      <w:widowControl w:val="0"/>
      <w:spacing w:after="120"/>
      <w:jc w:val="both"/>
    </w:pPr>
    <w:rPr>
      <w:rFonts w:ascii="Times New Roman" w:hAnsi="Times New Roman" w:eastAsia="宋体" w:cs="Times New Roman"/>
      <w:kern w:val="2"/>
      <w:sz w:val="21"/>
      <w:szCs w:val="20"/>
      <w:lang w:val="en-US" w:eastAsia="zh-CN" w:bidi="ar-SA"/>
    </w:rPr>
  </w:style>
  <w:style w:type="paragraph" w:customStyle="1" w:styleId="9">
    <w:name w:val="Default"/>
    <w:next w:val="1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
    <w:name w:val="表格文字"/>
    <w:qFormat/>
    <w:uiPriority w:val="0"/>
    <w:pPr>
      <w:widowControl w:val="0"/>
      <w:adjustRightInd w:val="0"/>
      <w:spacing w:line="420" w:lineRule="atLeast"/>
      <w:jc w:val="left"/>
      <w:textAlignment w:val="baseline"/>
    </w:pPr>
    <w:rPr>
      <w:rFonts w:ascii="Times New Roman" w:hAnsi="Times New Roman" w:eastAsia="宋体" w:cs="Times New Roman"/>
      <w:kern w:val="0"/>
      <w:sz w:val="21"/>
      <w:szCs w:val="20"/>
      <w:lang w:val="en-US" w:eastAsia="zh-CN" w:bidi="ar-SA"/>
    </w:rPr>
  </w:style>
  <w:style w:type="paragraph" w:styleId="11">
    <w:name w:val="annotation text"/>
    <w:basedOn w:val="1"/>
    <w:qFormat/>
    <w:uiPriority w:val="0"/>
    <w:pPr>
      <w:jc w:val="left"/>
    </w:pPr>
  </w:style>
  <w:style w:type="paragraph" w:styleId="12">
    <w:name w:val="Body Text 3"/>
    <w:qFormat/>
    <w:uiPriority w:val="0"/>
    <w:pPr>
      <w:widowControl w:val="0"/>
      <w:jc w:val="both"/>
    </w:pPr>
    <w:rPr>
      <w:rFonts w:ascii="宋体" w:hAnsi="Times New Roman" w:eastAsia="宋体" w:cs="Times New Roman"/>
      <w:kern w:val="2"/>
      <w:sz w:val="24"/>
      <w:szCs w:val="20"/>
      <w:lang w:val="en-US" w:eastAsia="zh-CN" w:bidi="ar-SA"/>
    </w:rPr>
  </w:style>
  <w:style w:type="paragraph" w:styleId="13">
    <w:name w:val="toc 3"/>
    <w:basedOn w:val="1"/>
    <w:next w:val="1"/>
    <w:qFormat/>
    <w:uiPriority w:val="0"/>
    <w:pPr>
      <w:ind w:left="840" w:leftChars="400"/>
    </w:pPr>
  </w:style>
  <w:style w:type="paragraph" w:styleId="14">
    <w:name w:val="Plain Text"/>
    <w:basedOn w:val="1"/>
    <w:unhideWhenUsed/>
    <w:uiPriority w:val="99"/>
    <w:rPr>
      <w:rFonts w:ascii="宋体" w:hAnsi="Courier New" w:cs="Courier New"/>
      <w:szCs w:val="21"/>
    </w:rPr>
  </w:style>
  <w:style w:type="paragraph" w:styleId="15">
    <w:name w:val="footer"/>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6">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7">
    <w:name w:val="toc 1"/>
    <w:next w:val="1"/>
    <w:qFormat/>
    <w:uiPriority w:val="39"/>
    <w:pPr>
      <w:widowControl w:val="0"/>
      <w:tabs>
        <w:tab w:val="right" w:leader="dot" w:pos="8296"/>
      </w:tabs>
      <w:spacing w:line="440" w:lineRule="exact"/>
      <w:jc w:val="center"/>
    </w:pPr>
    <w:rPr>
      <w:rFonts w:ascii="Times New Roman" w:hAnsi="Times New Roman" w:eastAsia="宋体" w:cs="Times New Roman"/>
      <w:kern w:val="2"/>
      <w:sz w:val="21"/>
      <w:szCs w:val="24"/>
      <w:lang w:val="en-US" w:eastAsia="zh-CN" w:bidi="ar-SA"/>
    </w:rPr>
  </w:style>
  <w:style w:type="paragraph" w:styleId="18">
    <w:name w:val="footnote text"/>
    <w:basedOn w:val="1"/>
    <w:qFormat/>
    <w:uiPriority w:val="0"/>
    <w:pPr>
      <w:widowControl w:val="0"/>
      <w:snapToGrid w:val="0"/>
      <w:jc w:val="left"/>
    </w:pPr>
    <w:rPr>
      <w:rFonts w:ascii="Times New Roman" w:hAnsi="Times New Roman" w:eastAsia="宋体" w:cs="Times New Roman"/>
      <w:kern w:val="2"/>
      <w:sz w:val="18"/>
      <w:szCs w:val="18"/>
      <w:lang w:val="en-US" w:eastAsia="zh-CN" w:bidi="ar-SA"/>
    </w:rPr>
  </w:style>
  <w:style w:type="paragraph" w:styleId="19">
    <w:name w:val="table of figures"/>
    <w:next w:val="1"/>
    <w:qFormat/>
    <w:uiPriority w:val="0"/>
    <w:pPr>
      <w:widowControl w:val="0"/>
      <w:ind w:left="840" w:leftChars="200" w:hanging="420" w:hangingChars="200"/>
      <w:jc w:val="both"/>
    </w:pPr>
    <w:rPr>
      <w:rFonts w:ascii="Calibri" w:hAnsi="Calibri" w:eastAsia="宋体" w:cs="Times New Roman"/>
      <w:bCs/>
      <w:kern w:val="44"/>
      <w:sz w:val="24"/>
      <w:szCs w:val="22"/>
      <w:lang w:val="en-US" w:eastAsia="zh-CN" w:bidi="ar-SA"/>
    </w:rPr>
  </w:style>
  <w:style w:type="paragraph" w:styleId="20">
    <w:name w:val="toc 2"/>
    <w:next w:val="1"/>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2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22">
    <w:name w:val="Normal (Web)"/>
    <w:basedOn w:val="1"/>
    <w:qFormat/>
    <w:uiPriority w:val="99"/>
    <w:pPr>
      <w:widowControl w:val="0"/>
      <w:autoSpaceDE w:val="0"/>
      <w:autoSpaceDN w:val="0"/>
      <w:jc w:val="left"/>
    </w:pPr>
    <w:rPr>
      <w:rFonts w:ascii="Calibri" w:hAnsi="Calibri" w:eastAsia="宋体" w:cs="宋体"/>
      <w:kern w:val="0"/>
      <w:sz w:val="24"/>
      <w:szCs w:val="22"/>
      <w:lang w:val="zh-CN" w:eastAsia="zh-CN" w:bidi="zh-CN"/>
    </w:rPr>
  </w:style>
  <w:style w:type="paragraph" w:styleId="23">
    <w:name w:val="Title"/>
    <w:qFormat/>
    <w:uiPriority w:val="0"/>
    <w:pPr>
      <w:widowControl w:val="0"/>
      <w:adjustRightInd w:val="0"/>
      <w:spacing w:before="240" w:after="60" w:line="420" w:lineRule="atLeast"/>
      <w:jc w:val="center"/>
      <w:textAlignment w:val="baseline"/>
      <w:outlineLvl w:val="0"/>
    </w:pPr>
    <w:rPr>
      <w:rFonts w:ascii="Arial" w:hAnsi="Arial" w:eastAsia="宋体" w:cs="Times New Roman"/>
      <w:b/>
      <w:kern w:val="0"/>
      <w:sz w:val="32"/>
      <w:szCs w:val="20"/>
      <w:lang w:val="en-US" w:eastAsia="zh-CN" w:bidi="ar-SA"/>
    </w:rPr>
  </w:style>
  <w:style w:type="paragraph" w:styleId="24">
    <w:name w:val="Body Text First Indent"/>
    <w:next w:val="25"/>
    <w:qFormat/>
    <w:uiPriority w:val="0"/>
    <w:pPr>
      <w:widowControl w:val="0"/>
      <w:spacing w:after="120" w:afterLines="0" w:line="312" w:lineRule="auto"/>
      <w:ind w:firstLine="420"/>
      <w:jc w:val="both"/>
    </w:pPr>
    <w:rPr>
      <w:rFonts w:ascii="Times New Roman" w:hAnsi="Times New Roman" w:eastAsia="宋体" w:cs="Times New Roman"/>
      <w:kern w:val="2"/>
      <w:sz w:val="21"/>
      <w:szCs w:val="24"/>
      <w:lang w:val="en-US" w:eastAsia="zh-CN" w:bidi="ar-SA"/>
    </w:rPr>
  </w:style>
  <w:style w:type="paragraph" w:styleId="25">
    <w:name w:val="Body Text First Indent 2"/>
    <w:next w:val="6"/>
    <w:qFormat/>
    <w:uiPriority w:val="0"/>
    <w:pPr>
      <w:widowControl w:val="0"/>
      <w:spacing w:before="120" w:after="120" w:afterLines="0" w:line="360" w:lineRule="auto"/>
      <w:ind w:left="0" w:leftChars="0" w:firstLine="420" w:firstLineChars="200"/>
      <w:jc w:val="both"/>
    </w:pPr>
    <w:rPr>
      <w:rFonts w:ascii="Times New Roman" w:hAnsi="Times New Roman" w:eastAsia="宋体" w:cs="Times New Roman"/>
      <w:kern w:val="2"/>
      <w:sz w:val="24"/>
      <w:szCs w:val="24"/>
      <w:lang w:val="en-US" w:eastAsia="zh-CN" w:bidi="ar-SA"/>
    </w:rPr>
  </w:style>
  <w:style w:type="character" w:styleId="28">
    <w:name w:val="page number"/>
    <w:qFormat/>
    <w:uiPriority w:val="0"/>
  </w:style>
  <w:style w:type="character" w:styleId="29">
    <w:name w:val="Hyperlink"/>
    <w:qFormat/>
    <w:uiPriority w:val="99"/>
    <w:rPr>
      <w:color w:val="0000FF"/>
      <w:u w:val="single"/>
    </w:rPr>
  </w:style>
  <w:style w:type="character" w:styleId="30">
    <w:name w:val="footnote reference"/>
    <w:basedOn w:val="27"/>
    <w:qFormat/>
    <w:uiPriority w:val="0"/>
    <w:rPr>
      <w:vertAlign w:val="superscript"/>
    </w:rPr>
  </w:style>
  <w:style w:type="paragraph" w:customStyle="1" w:styleId="31">
    <w:name w:val="无间隔1"/>
    <w:basedOn w:val="1"/>
    <w:qFormat/>
    <w:uiPriority w:val="99"/>
    <w:pPr>
      <w:spacing w:line="400" w:lineRule="exact"/>
    </w:pPr>
  </w:style>
  <w:style w:type="paragraph" w:customStyle="1" w:styleId="32">
    <w:name w:val="BodyText1I2"/>
    <w:qFormat/>
    <w:uiPriority w:val="0"/>
    <w:pPr>
      <w:widowControl w:val="0"/>
      <w:spacing w:after="120" w:line="240" w:lineRule="auto"/>
      <w:ind w:left="420" w:leftChars="200"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customStyle="1" w:styleId="33">
    <w:name w:val="BodyTextIndent"/>
    <w:qFormat/>
    <w:uiPriority w:val="0"/>
    <w:pPr>
      <w:widowControl w:val="0"/>
      <w:spacing w:after="120" w:line="240" w:lineRule="auto"/>
      <w:ind w:left="420" w:leftChars="200"/>
      <w:jc w:val="both"/>
      <w:textAlignment w:val="baseline"/>
    </w:pPr>
    <w:rPr>
      <w:rFonts w:ascii="Times New Roman" w:hAnsi="Times New Roman" w:eastAsia="宋体" w:cs="Times New Roman"/>
      <w:kern w:val="2"/>
      <w:sz w:val="21"/>
      <w:szCs w:val="24"/>
      <w:lang w:val="en-US" w:eastAsia="zh-CN" w:bidi="ar-SA"/>
    </w:rPr>
  </w:style>
  <w:style w:type="paragraph" w:customStyle="1" w:styleId="34">
    <w:name w:val="正文_0"/>
    <w:qFormat/>
    <w:uiPriority w:val="0"/>
    <w:pPr>
      <w:widowControl w:val="0"/>
      <w:jc w:val="both"/>
    </w:pPr>
    <w:rPr>
      <w:rFonts w:ascii="Times New Roman" w:hAnsi="Times New Roman" w:eastAsia="宋体" w:cs="Times New Roman"/>
      <w:lang w:val="en-US" w:eastAsia="zh-CN" w:bidi="ar-SA"/>
    </w:rPr>
  </w:style>
  <w:style w:type="paragraph" w:customStyle="1" w:styleId="35">
    <w:name w:val="样式 标题 2 + Times New Roman 四号 非加粗 段前: 5 磅 段后: 0 磅 行距: 固定值 20..."/>
    <w:qFormat/>
    <w:uiPriority w:val="0"/>
    <w:pPr>
      <w:keepNext/>
      <w:keepLines/>
      <w:widowControl w:val="0"/>
      <w:bidi w:val="0"/>
      <w:spacing w:before="100" w:beforeLines="50" w:after="0" w:line="400" w:lineRule="exact"/>
      <w:ind w:firstLine="0" w:firstLineChars="0"/>
      <w:jc w:val="left"/>
      <w:outlineLvl w:val="1"/>
    </w:pPr>
    <w:rPr>
      <w:rFonts w:ascii="Times New Roman" w:hAnsi="Times New Roman" w:eastAsia="仿宋" w:cs="宋体"/>
      <w:kern w:val="2"/>
      <w:sz w:val="28"/>
      <w:szCs w:val="20"/>
      <w:lang w:val="en-US" w:eastAsia="zh-CN" w:bidi="ar-SA"/>
    </w:rPr>
  </w:style>
  <w:style w:type="paragraph" w:customStyle="1" w:styleId="36">
    <w:name w:val="列出段落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37">
    <w:name w:val="正文_1"/>
    <w:basedOn w:val="38"/>
    <w:next w:val="40"/>
    <w:qFormat/>
    <w:uiPriority w:val="0"/>
    <w:pPr>
      <w:widowControl w:val="0"/>
      <w:jc w:val="both"/>
    </w:pPr>
    <w:rPr>
      <w:rFonts w:ascii="Calibri" w:hAnsi="Calibri" w:eastAsia="宋体" w:cs="Times New Roman"/>
      <w:lang w:val="en-US" w:eastAsia="zh-CN" w:bidi="ar-SA"/>
    </w:rPr>
  </w:style>
  <w:style w:type="paragraph" w:customStyle="1" w:styleId="38">
    <w:name w:val="正文_2_0"/>
    <w:basedOn w:val="39"/>
    <w:qFormat/>
    <w:uiPriority w:val="0"/>
    <w:pPr>
      <w:widowControl w:val="0"/>
      <w:jc w:val="both"/>
    </w:pPr>
    <w:rPr>
      <w:rFonts w:ascii="Calibri" w:hAnsi="Calibri"/>
      <w:kern w:val="2"/>
      <w:sz w:val="21"/>
      <w:szCs w:val="22"/>
      <w:lang w:val="en-US" w:eastAsia="zh-CN" w:bidi="ar-SA"/>
    </w:rPr>
  </w:style>
  <w:style w:type="paragraph" w:customStyle="1" w:styleId="39">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正文首行缩进_1"/>
    <w:basedOn w:val="41"/>
    <w:unhideWhenUsed/>
    <w:qFormat/>
    <w:uiPriority w:val="0"/>
    <w:pPr>
      <w:widowControl w:val="0"/>
      <w:spacing w:line="312" w:lineRule="auto"/>
      <w:ind w:firstLine="420"/>
      <w:jc w:val="both"/>
    </w:pPr>
    <w:rPr>
      <w:rFonts w:ascii="Times New Roman" w:hAnsi="Times New Roman" w:eastAsia="仿宋_GB2312" w:cs="Times New Roman"/>
      <w:kern w:val="2"/>
      <w:sz w:val="28"/>
      <w:szCs w:val="24"/>
      <w:lang w:val="en-US" w:eastAsia="zh-CN" w:bidi="ar-SA"/>
    </w:rPr>
  </w:style>
  <w:style w:type="paragraph" w:customStyle="1" w:styleId="41">
    <w:name w:val="正文文本_1"/>
    <w:basedOn w:val="42"/>
    <w:next w:val="51"/>
    <w:qFormat/>
    <w:uiPriority w:val="0"/>
    <w:rPr>
      <w:rFonts w:eastAsia="仿宋_GB2312"/>
      <w:kern w:val="2"/>
      <w:sz w:val="28"/>
      <w:szCs w:val="30"/>
    </w:rPr>
  </w:style>
  <w:style w:type="paragraph" w:customStyle="1" w:styleId="42">
    <w:name w:val="正文_2"/>
    <w:next w:val="4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文本_1_0"/>
    <w:basedOn w:val="44"/>
    <w:next w:val="45"/>
    <w:qFormat/>
    <w:uiPriority w:val="0"/>
    <w:rPr>
      <w:rFonts w:ascii="Calibri" w:hAnsi="Calibri" w:eastAsia="仿宋_GB2312"/>
      <w:kern w:val="2"/>
      <w:sz w:val="28"/>
      <w:szCs w:val="30"/>
    </w:rPr>
  </w:style>
  <w:style w:type="paragraph" w:customStyle="1" w:styleId="44">
    <w:name w:val="正文_1_0"/>
    <w:next w:val="4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Default_1_0"/>
    <w:basedOn w:val="38"/>
    <w:next w:val="46"/>
    <w:qFormat/>
    <w:uiPriority w:val="0"/>
    <w:pPr>
      <w:autoSpaceDE w:val="0"/>
      <w:autoSpaceDN w:val="0"/>
      <w:adjustRightInd w:val="0"/>
      <w:jc w:val="left"/>
    </w:pPr>
    <w:rPr>
      <w:rFonts w:ascii="Calibri" w:hAnsi="Calibri" w:cs="宋体"/>
      <w:color w:val="000000"/>
      <w:sz w:val="24"/>
      <w:szCs w:val="24"/>
    </w:rPr>
  </w:style>
  <w:style w:type="paragraph" w:customStyle="1" w:styleId="46">
    <w:name w:val="正文_2_1"/>
    <w:next w:val="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正文文本_1_0_0"/>
    <w:basedOn w:val="48"/>
    <w:next w:val="50"/>
    <w:qFormat/>
    <w:uiPriority w:val="0"/>
    <w:rPr>
      <w:rFonts w:eastAsia="仿宋_GB2312"/>
      <w:kern w:val="2"/>
      <w:sz w:val="28"/>
      <w:szCs w:val="28"/>
    </w:rPr>
  </w:style>
  <w:style w:type="paragraph" w:customStyle="1" w:styleId="48">
    <w:name w:val="正文_2_0_3"/>
    <w:next w:val="4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3_0_0"/>
    <w:next w:val="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Default_1_0_0"/>
    <w:next w:val="4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正文文本 2_1"/>
    <w:basedOn w:val="44"/>
    <w:qFormat/>
    <w:uiPriority w:val="0"/>
    <w:pPr>
      <w:jc w:val="center"/>
      <w:outlineLvl w:val="0"/>
    </w:pPr>
    <w:rPr>
      <w:rFonts w:ascii="楷体_GB2312" w:eastAsia="仿宋_GB2312"/>
      <w:kern w:val="2"/>
      <w:sz w:val="30"/>
    </w:rPr>
  </w:style>
  <w:style w:type="paragraph" w:customStyle="1" w:styleId="52">
    <w:name w:val="样式 标题 3 + (中文) 黑体 小四 非加粗 段前: 7.8 磅 段后: 0 磅 行距: 固定值 20 磅"/>
    <w:qFormat/>
    <w:uiPriority w:val="0"/>
    <w:pPr>
      <w:keepNext/>
      <w:keepLines/>
      <w:widowControl w:val="0"/>
      <w:spacing w:before="0" w:after="0" w:line="400" w:lineRule="exact"/>
      <w:jc w:val="both"/>
      <w:outlineLvl w:val="2"/>
    </w:pPr>
    <w:rPr>
      <w:rFonts w:ascii="Times New Roman" w:hAnsi="Times New Roman" w:eastAsia="黑体" w:cs="宋体"/>
      <w:kern w:val="2"/>
      <w:sz w:val="24"/>
      <w:szCs w:val="20"/>
      <w:lang w:val="en-US" w:eastAsia="zh-CN" w:bidi="ar-SA"/>
    </w:rPr>
  </w:style>
  <w:style w:type="paragraph" w:styleId="53">
    <w:name w:val="List Paragraph"/>
    <w:qFormat/>
    <w:uiPriority w:val="1"/>
    <w:pPr>
      <w:widowControl w:val="0"/>
      <w:autoSpaceDE w:val="0"/>
      <w:autoSpaceDN w:val="0"/>
      <w:ind w:left="400" w:firstLine="420"/>
      <w:jc w:val="left"/>
    </w:pPr>
    <w:rPr>
      <w:rFonts w:ascii="宋体" w:hAnsi="宋体" w:eastAsia="宋体" w:cs="宋体"/>
      <w:kern w:val="0"/>
      <w:sz w:val="22"/>
      <w:szCs w:val="22"/>
      <w:lang w:val="zh-CN" w:eastAsia="zh-CN" w:bidi="zh-CN"/>
    </w:rPr>
  </w:style>
  <w:style w:type="paragraph" w:customStyle="1" w:styleId="54">
    <w:name w:val="*正文"/>
    <w:next w:val="1"/>
    <w:qFormat/>
    <w:uiPriority w:val="0"/>
    <w:pPr>
      <w:widowControl/>
      <w:ind w:firstLine="482"/>
      <w:jc w:val="both"/>
    </w:pPr>
    <w:rPr>
      <w:rFonts w:ascii="微软雅黑" w:hAnsi="微软雅黑" w:eastAsia="微软雅黑" w:cs="Times New Roman"/>
      <w:kern w:val="2"/>
      <w:sz w:val="21"/>
      <w:szCs w:val="24"/>
      <w:lang w:val="en-US" w:eastAsia="zh-CN" w:bidi="ar-SA"/>
    </w:rPr>
  </w:style>
  <w:style w:type="paragraph" w:customStyle="1" w:styleId="55">
    <w:name w:val="正文_5"/>
    <w:qFormat/>
    <w:uiPriority w:val="0"/>
    <w:pPr>
      <w:widowControl w:val="0"/>
      <w:jc w:val="both"/>
    </w:pPr>
    <w:rPr>
      <w:rFonts w:ascii="Calibri" w:hAnsi="Calibri" w:eastAsia="宋体" w:cs="Times New Roman"/>
      <w:kern w:val="2"/>
      <w:sz w:val="21"/>
      <w:szCs w:val="22"/>
      <w:lang w:val="en-US" w:eastAsia="zh-CN" w:bidi="ar-SA"/>
    </w:rPr>
  </w:style>
  <w:style w:type="table" w:customStyle="1" w:styleId="56">
    <w:name w:val="Table Normal"/>
    <w:autoRedefine/>
    <w:unhideWhenUsed/>
    <w:qFormat/>
    <w:uiPriority w:val="0"/>
    <w:tblPr>
      <w:tblCellMar>
        <w:top w:w="0" w:type="dxa"/>
        <w:left w:w="0" w:type="dxa"/>
        <w:bottom w:w="0" w:type="dxa"/>
        <w:right w:w="0" w:type="dxa"/>
      </w:tblCellMar>
    </w:tblPr>
  </w:style>
  <w:style w:type="paragraph" w:customStyle="1" w:styleId="57">
    <w:name w:val="Table Text"/>
    <w:basedOn w:val="1"/>
    <w:semiHidden/>
    <w:qFormat/>
    <w:uiPriority w:val="0"/>
    <w:rPr>
      <w:rFonts w:ascii="宋体" w:hAnsi="宋体" w:eastAsia="宋体" w:cs="宋体"/>
      <w:sz w:val="20"/>
      <w:szCs w:val="20"/>
      <w:lang w:val="en-US" w:eastAsia="en-US" w:bidi="ar-SA"/>
    </w:rPr>
  </w:style>
  <w:style w:type="character" w:customStyle="1" w:styleId="58">
    <w:name w:val="标题 4 Char"/>
    <w:link w:val="5"/>
    <w:qFormat/>
    <w:uiPriority w:val="0"/>
    <w:rPr>
      <w:rFonts w:ascii="Arial" w:hAnsi="Arial" w:eastAsia="仿宋"/>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19459</Words>
  <Characters>20974</Characters>
  <Lines>0</Lines>
  <Paragraphs>0</Paragraphs>
  <TotalTime>1</TotalTime>
  <ScaleCrop>false</ScaleCrop>
  <LinksUpToDate>false</LinksUpToDate>
  <CharactersWithSpaces>21142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2025-03-18T02:56:00Z</dcterms:created>
  <dc:creator>NTKO</dc:creator>
  <cp:lastModifiedBy>NTKO</cp:lastModifiedBy>
  <dcterms:modified xsi:type="dcterms:W3CDTF">2025-09-17T09:43:56Z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8A25FDCDF5CF4428AED001F61DC9923D_13</vt:lpwstr>
  </property>
  <property fmtid="{D5CDD505-2E9C-101B-9397-08002B2CF9AE}" pid="4" name="KSOTemplateDocerSaveRecord">
    <vt:lpwstr>eyJoZGlkIjoiOTlhOGVlMTE5YzAwZDU2OTY5NjExMjdjOTAxMTBkMWYiLCJ1c2VySWQiOiI1Njg2NjI0MzMifQ==</vt:lpwstr>
  </property>
</Properties>
</file>